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29277-2026 i Uppsala kommun</w:t>
      </w:r>
    </w:p>
    <w:p>
      <w:r>
        <w:t>Detta klagomål behandlar höga naturvärden i avverkningsanmälan A 29277-2026 i Uppsala kommun som inkom 2026-06-29 och omfattar 4,9 ha.</w:t>
      </w:r>
    </w:p>
    <w:p>
      <w:pPr>
        <w:pStyle w:val="Caption"/>
      </w:pPr>
      <w:r>
        <w:drawing>
          <wp:inline xmlns:a="http://schemas.openxmlformats.org/drawingml/2006/main" xmlns:pic="http://schemas.openxmlformats.org/drawingml/2006/picture">
            <wp:extent cx="5486400" cy="5154576"/>
            <wp:docPr id="1" name="Picture 1"/>
            <wp:cNvGraphicFramePr>
              <a:graphicFrameLocks noChangeAspect="1"/>
            </wp:cNvGraphicFramePr>
            <a:graphic>
              <a:graphicData uri="http://schemas.openxmlformats.org/drawingml/2006/picture">
                <pic:pic>
                  <pic:nvPicPr>
                    <pic:cNvPr id="0" name="A 29277-2026 karta.png"/>
                    <pic:cNvPicPr/>
                  </pic:nvPicPr>
                  <pic:blipFill>
                    <a:blip r:embed="rId16"/>
                    <a:stretch>
                      <a:fillRect/>
                    </a:stretch>
                  </pic:blipFill>
                  <pic:spPr>
                    <a:xfrm>
                      <a:off x="0" y="0"/>
                      <a:ext cx="5486400" cy="515457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6658267, E 629214 i SWEREF 99 TM.</w:t>
      </w:r>
    </w:p>
    <w:p>
      <w:r>
        <w:t>I och inom 22 meter från avverkningsanmälan finns fynd av 7 naturvårdsarter, varav 2 är rödlistade, 1 är fridlyst, 6 är typiska (T) och 4 är signalarter (S): ullticka (NT, T), vedtrappmossa (NT, T), bronshjon (S, T), grönpyrola (S, T), vedticka (S, T), vågbandad barkbock (S)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