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35260-2025 i Uppsala kommun</w:t>
      </w:r>
    </w:p>
    <w:p>
      <w:r>
        <w:t>Denna tillsynsbegäran behandlar höga naturvärden i avverkningsanmälan A 35260-2025 i Uppsala kommun som inkom 2025-07-15 och omfattar 7,3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35260-2025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6648141, E 671969 i SWEREF 99 TM.</w:t>
      </w:r>
    </w:p>
    <w:p>
      <w:r>
        <w:t>I och inom 22 meter från avverkningsanmälan finns fynd av 20 naturvårdsarter, varav 9 är rödlistade, 2 är fridlysta, 5 är typiska (T) och 9 är signalarter (S): ask (EN), läderdoftande fingersvamp (VU), fjällig taggsvamp s.str. (NT), gultoppig fingersvamp (NT), kryddspindling (NT, T), kungsspindling (NT), odörspindling (NT), skarp dropptaggsvamp (NT), tjockfotad fingersvamp (NT), anisspindling (S), björksplintborre (S), bronshjon (S, T), nästrot (S, §8), olivspindling (S), strimspindling (S), svavelriska (S), tibast (S, T), zontaggsvamp (S), blåsippa (T, §9)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kryddspindling (NT, T), bronshjon (S, T), tibast (S, T), blåsippa (T, §9)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