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43942-2023 i Uppsala kommun</w:t>
      </w:r>
    </w:p>
    <w:p>
      <w:r>
        <w:t>Detta dokument behandlar höga naturvärden i avverkningsanmälan A 43942-2023 i Uppsala kommun. Denna avverkningsanmälan inkom 2023-09-18 och omfattar 31,6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vedtrådmossa (CR, §8), slaguggla (NT, §4) och grön sköldmossa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4672"/>
            <wp:docPr id="1" name="Picture 1"/>
            <wp:cNvGraphicFramePr>
              <a:graphicFrameLocks noChangeAspect="1"/>
            </wp:cNvGraphicFramePr>
            <a:graphic>
              <a:graphicData uri="http://schemas.openxmlformats.org/drawingml/2006/picture">
                <pic:pic>
                  <pic:nvPicPr>
                    <pic:cNvPr id="0" name="A 43942-2023 karta.png"/>
                    <pic:cNvPicPr/>
                  </pic:nvPicPr>
                  <pic:blipFill>
                    <a:blip r:embed="rId16"/>
                    <a:stretch>
                      <a:fillRect/>
                    </a:stretch>
                  </pic:blipFill>
                  <pic:spPr>
                    <a:xfrm>
                      <a:off x="0" y="0"/>
                      <a:ext cx="5486400" cy="51546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6665996, E 659837 i SWEREF 99 TM.</w:t>
      </w:r>
    </w:p>
    <w:p>
      <w:pPr>
        <w:pStyle w:val="Heading1"/>
      </w:pPr>
      <w:r>
        <w:t>Fridlysta arter</w:t>
      </w:r>
    </w:p>
    <w:p>
      <w:r>
        <w:t>Följande fridlysta arter har sina livsmiljöer och växtplatser i den avverkningsanmälda skogen: vedtrådmossa (CR, §8), slaguggla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