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51297-2024 i Uppsala kommun</w:t>
      </w:r>
    </w:p>
    <w:p>
      <w:r>
        <w:t>Detta klagomål behandlar höga naturvärden i avverkningsanmälan A 51297-2024 i Uppsala kommun som inkom 2024-11-07 och omfattar 322,7 ha.</w:t>
      </w:r>
    </w:p>
    <w:p>
      <w:pPr>
        <w:pStyle w:val="Caption"/>
      </w:pPr>
      <w:r>
        <w:drawing>
          <wp:inline xmlns:a="http://schemas.openxmlformats.org/drawingml/2006/main" xmlns:pic="http://schemas.openxmlformats.org/drawingml/2006/picture">
            <wp:extent cx="5486400" cy="5099145"/>
            <wp:docPr id="1" name="Picture 1"/>
            <wp:cNvGraphicFramePr>
              <a:graphicFrameLocks noChangeAspect="1"/>
            </wp:cNvGraphicFramePr>
            <a:graphic>
              <a:graphicData uri="http://schemas.openxmlformats.org/drawingml/2006/picture">
                <pic:pic>
                  <pic:nvPicPr>
                    <pic:cNvPr id="0" name="A 51297-2024 karta.png"/>
                    <pic:cNvPicPr/>
                  </pic:nvPicPr>
                  <pic:blipFill>
                    <a:blip r:embed="rId16"/>
                    <a:stretch>
                      <a:fillRect/>
                    </a:stretch>
                  </pic:blipFill>
                  <pic:spPr>
                    <a:xfrm>
                      <a:off x="0" y="0"/>
                      <a:ext cx="5486400" cy="509914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6630871, E 628228 i SWEREF 99 TM.</w:t>
      </w:r>
    </w:p>
    <w:p>
      <w:r>
        <w:t>I och inom 15 meter från avverkningsanmälan finns fynd av 43 naturvårdsarter, varav 21 är rödlistade, 24 är fridlysta, 25 är typiska (T) och 11 är signalarter (S): bombmurkla (EN, §8), pärluggla (EN, T, §4), cinnoberbagge (VU, §4a), västlig njurlav (VU, T), Blastenia relicta (NT), duvhök (NT, §4), grynig filtlav (NT, T), göktyta (NT, §4), koralltaggsvamp (NT, T), lunglav (NT, T), mindre hackspett (NT, T, §4), nötkråka (NT, T, §4), rödbrun blekspik (NT, T), rödvingetrast (NT, §4), skuggorangelav (NT), sparvuggla (NT, §4), talltita (NT, §4), tretåig hackspett (NT, T, §4), ullticka (NT, T), vinterhämpling (NT, §4), vippärt (NT, T), aspvedborre (S), barkticka (S, T), bårdlav (S, T), grön sköldmossa (S, T, §8), lönnlav (S), platt fjädermossa (S, T), rävticka (S, T), skinnlav (S, T), stor aspticka (S, T), stuplav (S, T), trådticka (S, T), gråspett (T, §4), järpe (T, §4), nattskärra (T, §4), spillkråka (T, §4), tjäder (T, §4), gröngöling (§4), kungsfågel (§4), orre (§4), skogsduva (§4), slaguggla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Cinnoberbagge (VU, §4a)</w:t>
      </w:r>
      <w:r>
        <w:t xml:space="preserve">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Cinnoberbagge missgynnas tveklöst av modernt skogsbruk och äldre lövrik skog, särskilt bestånd med gamla aspar, bör generellt sparas inom artens utbredningsområde (SLU Artdatabanken, 2026; Eriksson, 2013).</w:t>
      </w:r>
    </w:p>
    <w:p>
      <w:r>
        <w:rPr>
          <w:b/>
        </w:rPr>
        <w:t>Västlig njurlav (VU)</w:t>
      </w:r>
      <w:r>
        <w:t xml:space="preserve"> växer på mossiga lövträdstammar eller klippor i områden med hög luftfuktighet och förekommer huvudsakligen på lövträd, främst asp men ofta också på ask, sälg, rönn, ek och lönn. Den mest typiska miljön är halvöppen blandskog i bergskanter med gran och senvuxna aspar. Arten hotas av avverkning av asp och andra lövträd i blandskogar samt av utglesning av skog på eller i omedelbar närhet av växtplatsen. Nyetablering och spridning försvåras av att aspar i blandskogar ofta avverkas i samband med gallringar. Lämpliga miljöer nyskapas i mycket begränsad omfattning. Västlig njurlav är placerad högst upp i Skogsstyrelsens värdepyramid för bedömning av skog med höga naturvärden och har minskat med 25 (20–30) % under de senaste 50 åren. Sedan 2010 har minskningstakten ökat och överstiger gränsvärdet för Sårbar (VU). På västlig njurlav kan även de sällsynta lavparasiterna </w:t>
      </w:r>
      <w:r>
        <w:rPr>
          <w:i/>
        </w:rPr>
        <w:t>Protounguicularia nephromatis</w:t>
      </w:r>
      <w:r>
        <w:t xml:space="preserve"> (VU) och </w:t>
      </w:r>
      <w:r>
        <w:rPr>
          <w:i/>
        </w:rPr>
        <w:t>Refractohilum galligenum</w:t>
      </w:r>
      <w:r>
        <w:t xml:space="preserve"> (NT) påträffas. Västlig njurlav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i/>
        </w:rPr>
        <w:t xml:space="preserve">Blastenia relicta </w:t>
      </w:r>
      <w:r>
        <w:rPr>
          <w:b/>
        </w:rPr>
        <w:t>(NT)</w:t>
      </w:r>
      <w:r>
        <w:t xml:space="preserve"> är en rostorangelav som växer på aspgrenar, men även på stammar på senvuxna, öppet stående träd. I södra Sverige växer den ibland på ädellövträd. Arten har i södra och mellersta Sverige minskat, sannolikt dels p.g.a. att antalet senvuxna aspar i skogsmark blivit färre. Kända lokaler bör skyddas (SLU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Aspvedborre</w:t>
      </w:r>
      <w:r>
        <w:rPr>
          <w:b/>
          <w:i/>
        </w:rPr>
        <w:t xml:space="preserve"> </w:t>
      </w:r>
      <w:r>
        <w:t>är anpassad att leva på döende gamla aspar med nedsatt vitalitet eller som är skadade efter stormfällningar och stambrott, ofta i halvskuggiga lägen. Arten påverkas negativt av brist på grova eller gamla träd och det föreligger indikation på eller misstanke om populationsminskning (SLU Artdatabanken, 2025).</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43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Cinnoberbagge – ekologi samt krav på livsmiljön</w:t>
      </w:r>
    </w:p>
    <w:p>
      <w:r>
        <w:t>Cinnoberbagge (VU, §4a) omfattas av bilaga 2 och 4 EU:s art- och habitatdirektiv vilket innebär att arten och dess livsmiljöer är strikt skyddade samt att Natura 2000-områden ska inrättas. Den omfattas av ett åtgärdsprogram för hotade arter (ÅGP) och dess bevarandestatus inom habitatdirektivet är dålig med negativ trend (SLU Artdatabanken, 2026; Eriksson, 2013).</w:t>
      </w:r>
    </w:p>
    <w:p>
      <w:r>
        <w:t>Larvutvecklingen sker i innerbarken av nyligen döda, stående eller liggande stammar av främst lövträd. Huvudsakligen utnyttjas asp där larverna främst påträffas i beskuggade partier av stammarna och som mest kan 2–3 generationer utvecklas i ett träd innan det blir olämpligt som substrat på grund av att barken blir för torr och lossnar. Arten missgynnas tveklöst av modernt skogsbruk och äldre lövrik skog, särskilt bestånd med gamla aspar, bör generellt sparas inom artens utbredningsområde (SLU Artdatabanken, 2026; Eriksson, 2013).</w:t>
      </w:r>
    </w:p>
    <w:p>
      <w:pPr>
        <w:pStyle w:val="Heading2"/>
      </w:pPr>
      <w:r>
        <w:t>Referenser – cinnoberbagge</w:t>
      </w:r>
    </w:p>
    <w:p>
      <w:r>
        <w:t xml:space="preserve">Eriksson, P., 2013. </w:t>
      </w:r>
      <w:r>
        <w:rPr>
          <w:i/>
        </w:rPr>
        <w:t>Åtgärdsprogram för skalbaggar på gammal asp 2013–2017 Cinnoberbagge (Cucujus cinnaberinus) Aspsplintbock (Leiopus punctulatus)</w:t>
      </w:r>
      <w:r>
        <w:t xml:space="preserve"> (Rapport 6573). Bromma: Naturvårdsverket. https://www.naturvardsverket.se/978-91-620-6573-7</w:t>
      </w:r>
    </w:p>
    <w:p>
      <w:r>
        <w:t>SLU Artdatabanken, 2026.</w:t>
      </w:r>
      <w:r>
        <w:rPr>
          <w:i/>
        </w:rPr>
        <w:t xml:space="preserve"> Artfakta: cinnoberbagge (Cucujus cinnaberinus)</w:t>
      </w:r>
      <w:r>
        <w:t>. https://artfakta.se/taxa/100763</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