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7380-2023 i Uppsala kommun</w:t>
      </w:r>
    </w:p>
    <w:p>
      <w:r>
        <w:t>Denna tillsynsbegäran behandlar höga naturvärden i avverkningsanmälan A 7380-2023 i Uppsala kommun som inkom 2023-02-14 och omfattar 3,7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7380-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6634726, E 663173 i SWEREF 99 TM.</w:t>
      </w:r>
    </w:p>
    <w:p>
      <w:r>
        <w:t>I och inom 22 meter från avverkningsanmälan finns fynd av 15 naturvårdsarter, varav 7 är rödlistade, 3 är fridlysta, 7 är typiska (T) och 6 är signalarter (S): skogsalm (EN), cinnoberbagge (VU, §4a), lundfingersvamp (VU), bleknande kamskivling (NT), jättekamskivling (NT), rutskinn (NT, T), vårärt (NT, T), bolmörtsskivling (S), gulmjölkig storskål (S), hasselsopp (S), hasselticka (S, T), svart trolldruva (S, T), tibast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Lundfingersvamp (VU) </w:t>
      </w:r>
      <w:r>
        <w:t>bildar mykorrhiza med lind, bok, avenbok och ek i luckig, äldre ädellövskog och gamla lindalléer. I Götaland främst påträffad i ädellövskog, i Svealand främst i alléer och parkmiljö. Överallt mycket sällsynt och med totalt sett liten population i landet. Främsta hotet utgörs av avverkning eller annan exploatering av växtplatserna.  Samtliga lokaler bör skyddas. Lind och gammal hassel bör värnas (SLU Artdatabanken, 2026).</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Gulmjölkig storskål </w:t>
      </w:r>
      <w:r>
        <w:t>visar på rika ädellövskogar och lundar med höga naturvärden och speciella markförhållanden där den kalkhaltiga jorden är något fuktig och långvarigt beskuggad. Gulmjölkig storskål utgör en karaktärsart i exempelvis gamla slutna öländska hässlen och lundar där den ibland uppträder rikligt, nästan alltid tillsammans med andra ovanliga och rödlistade arter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rutskinn (NT, T), vårärt (NT, T), hasselticka (S, T), svart trolldruva (S, T), tibast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