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51297-2024 i Uppsala kommun</w:t>
      </w:r>
    </w:p>
    <w:p>
      <w:r>
        <w:t>Detta dokument behandlar höga naturvärden i avverkningsanmälan A 51297-2024 i Uppsala kommun. Denna avverkningsanmälan inkom 2024-11-07 och omfattar 322,7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cinnoberbagge (EN, §4a), bombmurkla (VU, §8), rostorangelav (VU), vinterhämpling (VU, §4), västlig njurlav (VU), duvhök (NT, §4), grynig filtlav (NT), grön aspvedbock (NT), järpe (NT, §4), koralltaggsvamp (NT), lunglav (NT), mindre hackspett (NT, §4), rödvingetrast (NT, §4), slaguggla (NT, §4), spillkråka (NT, §4), talltita (NT, §4), tretåig hackspett (NT, §4), ullticka (NT), vippärt (NT), barkticka (S), bårdlav (S), grön sköldmossa (S, §8), lönnlav (S), platt fjädermossa (S), rävticka (S), skinnlav (S), stor aspticka (S), stuplav (S), trådticka (S) och skogsduva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5129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6630871, E 628228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enligt A-kriteriet. (A3bc) (SLU Artdatabanken, 2024; Nitare &amp; Skogsstyrelsen, 2019).</w:t>
      </w:r>
    </w:p>
    <w:p>
      <w:pPr>
        <w:pStyle w:val="Heading1"/>
      </w:pPr>
      <w:r>
        <w:t>Fridlysta arter</w:t>
      </w:r>
    </w:p>
    <w:p>
      <w:r>
        <w:t>Följande fridlysta arter har sina livsmiljöer och växtplatser i den avverkningsanmälda skogen: cinnoberbagge (EN, §4a), bombmurkla (VU, §8), vinterhämpling (VU, §4), duvhök (NT, §4), järpe (NT, §4), mindre hackspett (NT, §4), rödvingetrast (NT, §4), slaguggla (NT, §4), spillkråka (NT, §4), talltita (NT, §4), tretåig hackspett (NT, §4), grön sköldmossa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