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38208-2025 i Uppsala kommun</w:t>
      </w:r>
    </w:p>
    <w:p>
      <w:r>
        <w:t>Detta klagomål behandlar höga naturvärden i avverkningsanmälan A 38208-2025 i Uppsala kommun som inkom 2025-08-13 och omfattar 3,4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38208-2025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6642049, E 660630 i SWEREF 99 TM.</w:t>
      </w:r>
    </w:p>
    <w:p>
      <w:r>
        <w:t>I och inom 22 meter från avverkningsanmälan finns fynd av 42 naturvårdsarter, varav 22 är rödlistade, 8 är fridlysta, 23 är typiska (T) och 16 är signalarter (S): almrostöra (EN), prakttagging (EN, T), blackticka (VU), ulltickeporing (VU), entita (NT, T, §4), fjällig taggsvamp s.str. (NT), flattoppad klubbsvamp (NT), gammelekslav (NT, T), kandelabersvamp (NT, T), mindre hackspett (NT, T, §4), nötkråka (NT, T, §4), persiljespindling (NT), rosa skärelav (NT, T), rosenticka (NT, T), rutskinn (NT, T), rynkskinn (NT, T), rödbrun blekspik (NT, T), stjärnnästing (NT), svartöra (NT, T), talltita (NT, §4), ullticka (NT, T), vågticka (NT), alsopp (S), björksplintborre (S), brandticka (S), bronshjon (S, T), brun nållav (S), fällmossa (S, T), granbarkgnagare (S, T), guldlockmossa (S, T), lönnlav (S), narrtagging (S), slanklav (S, T), sotlav (S, T), svart trolldruva (S, T), svavelriska (S), tibast (S, T), zontaggsvamp (S), blåsippa (T, §9), spillkråka (T, §4), havsörn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