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klagomål behandlar höga naturvärden i avverkningsanmälan A 53593-2025 i Uppsala kommun som inkom 2025-10-30 och omfattar 10,6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6634801, E 638351 i SWEREF 99 TM.</w:t>
      </w:r>
    </w:p>
    <w:p>
      <w:r>
        <w:t>I och inom 19 meter från avverkningsanmälan finns fynd av 23 naturvårdsarter, varav 12 är rödlistade, 4 är fridlysta, 13 är typiska (T) och 8 är signalarter (S): granrotspindling (VU), knärot (VU, T, §8), rosetticka (VU), rotfingersvamp (VU), fjällig taggsvamp s.str. (NT), motaggsvamp (NT, T), orange taggsvamp (NT, T), rynkskinn (NT, T), talltita (NT, §4), ullticka (NT, T), vedtrappmossa (NT, T), vågticka (NT), brandticka (S), granbarkgnagare (S, T), gullgröppa (S), rödgul trumpetsvamp (S), svavelriska (S), trådticka (S, T), underviol (S, T), vedticka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7.45 ha med buffertzonerna och får av detta skäl inte avverkas.</w:t>
      </w:r>
    </w:p>
    <w:p>
      <w:pPr>
        <w:pStyle w:val="Caption"/>
      </w:pPr>
      <w:r>
        <w:drawing>
          <wp:inline xmlns:a="http://schemas.openxmlformats.org/drawingml/2006/main" xmlns:pic="http://schemas.openxmlformats.org/drawingml/2006/picture">
            <wp:extent cx="5486400" cy="6497934"/>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