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32105-2026 i Uppsala kommun</w:t>
      </w:r>
    </w:p>
    <w:p>
      <w:r>
        <w:t>Denna tillsynsbegäran behandlar höga naturvärden i avverkningsanmälan A 32105-2026 i Uppsala kommun som inkom 2026-07-31 och omfattar 4,9 ha.</w:t>
      </w:r>
    </w:p>
    <w:p>
      <w:pPr>
        <w:pStyle w:val="Caption"/>
      </w:pPr>
      <w:r>
        <w:drawing>
          <wp:inline xmlns:a="http://schemas.openxmlformats.org/drawingml/2006/main" xmlns:pic="http://schemas.openxmlformats.org/drawingml/2006/picture">
            <wp:extent cx="5486400" cy="4561550"/>
            <wp:docPr id="1" name="Picture 1"/>
            <wp:cNvGraphicFramePr>
              <a:graphicFrameLocks noChangeAspect="1"/>
            </wp:cNvGraphicFramePr>
            <a:graphic>
              <a:graphicData uri="http://schemas.openxmlformats.org/drawingml/2006/picture">
                <pic:pic>
                  <pic:nvPicPr>
                    <pic:cNvPr id="0" name="A 32105-2026 karta.png"/>
                    <pic:cNvPicPr/>
                  </pic:nvPicPr>
                  <pic:blipFill>
                    <a:blip r:embed="rId16"/>
                    <a:stretch>
                      <a:fillRect/>
                    </a:stretch>
                  </pic:blipFill>
                  <pic:spPr>
                    <a:xfrm>
                      <a:off x="0" y="0"/>
                      <a:ext cx="5486400" cy="456155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6649524, E 626798 i SWEREF 99 TM.</w:t>
      </w:r>
    </w:p>
    <w:p>
      <w:r>
        <w:t>I och inom 19 meter från avverkningsanmälan finns fynd av 15 naturvårdsarter, varav 8 är rödlistade, 2 är fridlysta, 6 är typiska (T) och 7 är signalarter (S): knärot (VU, T, §8), ulltickeporing (VU), grönhjon (NT), rynkskinn (NT, T), smalvingad blombock (NT), talltita (NT, §4), ullticka (NT, T), Porodaedalea chrysoloma (DD), björksplintborre (S), bronshjon (S, T), granbarkgnagare (S, T), myskbock (S), thomsons trägnagare (S), vedticka (S, 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1.71 ha med buffertzonerna och får av detta skäl inte avverkas.</w:t>
      </w:r>
    </w:p>
    <w:p>
      <w:pPr>
        <w:pStyle w:val="Caption"/>
      </w:pPr>
      <w:r>
        <w:drawing>
          <wp:inline xmlns:a="http://schemas.openxmlformats.org/drawingml/2006/main" xmlns:pic="http://schemas.openxmlformats.org/drawingml/2006/picture">
            <wp:extent cx="5486400" cy="5950587"/>
            <wp:docPr id="2" name="Picture 2"/>
            <wp:cNvGraphicFramePr>
              <a:graphicFrameLocks noChangeAspect="1"/>
            </wp:cNvGraphicFramePr>
            <a:graphic>
              <a:graphicData uri="http://schemas.openxmlformats.org/drawingml/2006/picture">
                <pic:pic>
                  <pic:nvPicPr>
                    <pic:cNvPr id="0" name="A 32105-2026 karta knärot.png"/>
                    <pic:cNvPicPr/>
                  </pic:nvPicPr>
                  <pic:blipFill>
                    <a:blip r:embed="rId17"/>
                    <a:stretch>
                      <a:fillRect/>
                    </a:stretch>
                  </pic:blipFill>
                  <pic:spPr>
                    <a:xfrm>
                      <a:off x="0" y="0"/>
                      <a:ext cx="5486400" cy="595058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6649524, E 626798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Smalvingad blombock (NT) </w:t>
      </w:r>
      <w:r>
        <w:t>är en långhorning vars larvutveckling sker i ganska torr, vitrötad ved i grenar och klenare stammar eller stubbar av lövträd, även i t.ex. stängselpålar. I Sverige har ek angetts som huvudsakligt värdträd, i Centraleuropa utnyttjas björk, al, ek, hassel, skogskornell, alm mm. Åtminstone i Uppland finns flera fynd efter år 2000 i barrskogstrakter som är fattiga på ek. Främsta hotet är brist på lämplig ved. Det kan bero på avverkning av lövskog, uttag av lövträdsved som biobränsle och att lövrika biotoper som exempelvis gamla hagmarker omvandlas till granplanteringar. Bevara lövrika biotoper i både skogstrakter och odlingslandskap, främst vad gäller ek. Undvik uttag av ekved som biobränsle, och låt veden istället ligga kvar. Äldre lövskogar som växer igen med gran kan gärna gallras selektivt på yngre gran. Blomrika småbiotoper och bryn bör alltid bevaras för att gynna insektslivet (SLU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i/>
        </w:rPr>
        <w:t>Porodaedalea chrysoloma (DD)</w:t>
      </w:r>
      <w:r>
        <w:t xml:space="preserve"> förekommer främst i äldre skogar med naturskogskaraktär och är en god signalart för skyddsvärda granskogsmiljöer. Den bedöms ha minskat starkt under senare år på grund av skogsavverkningar, då den framför allt växer i äldre grannaturskog med långvarig grankontinuitet. Det som tidigare inbegripit grantickan har visat sig röra sig om två arter; tajgagranticka </w:t>
      </w:r>
      <w:r>
        <w:rPr>
          <w:i/>
        </w:rPr>
        <w:t>Porodaedalea abietis</w:t>
      </w:r>
      <w:r>
        <w:t xml:space="preserve"> (LC) och </w:t>
      </w:r>
      <w:r>
        <w:rPr>
          <w:i/>
        </w:rPr>
        <w:t>Porodaedalea chrysoloma</w:t>
      </w:r>
      <w:r>
        <w:t xml:space="preserve"> </w:t>
      </w:r>
      <w:r>
        <w:rPr>
          <w:i/>
        </w:rPr>
        <w:t>(DD)</w:t>
      </w:r>
      <w:r>
        <w:t xml:space="preserve">. Den nordligare arten, tajgagranticka, bildar större fruktkroppar och har sin främsta förekomst i norra Sverige, medan den mer tunnköttiga arten, </w:t>
      </w:r>
      <w:r>
        <w:rPr>
          <w:i/>
        </w:rPr>
        <w:t>P. chrysoloma</w:t>
      </w:r>
      <w:r>
        <w:t xml:space="preserve">, förekommer i sydöstra Sverige och på Gotland. Faktaunderlaget för </w:t>
      </w:r>
      <w:r>
        <w:rPr>
          <w:i/>
        </w:rPr>
        <w:t>P. chrysoloma</w:t>
      </w:r>
      <w:r>
        <w:t xml:space="preserve"> bedöms vara otillräckligt för att avgöra vilken av de olika rödlistningskategorierna som är mest trolig (SLU Artdatabanken, 2026;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rynkskinn (NT, T), ullticka (NT, T), bronshjon (S, T), granbarkgnagare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