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24 naturvårdsarter, varav 13 är rödlistade, 6 är fridlysta, 14 är typiska (T) och 7 är signalarter (S): knärot (VU, T, §8), raggbock (VU, T), barrpraktbagge (NT), dropptaggsvamp (NT, T), dvärgbägarlav (NT, T), gropticka (NT, T), kolflarnlav (NT, T), motaggsvamp (NT, T), skrovlig flatbagge (NT, T), tallkötticka (NT), talltita (NT, §4), vedskivlav (NT, T), vedtrappmossa (NT, T), björksplintborre (S), flagellkvastmossa (S, T), granbarkgnagare (S, T), gullgröppa (S), jättesvampmal (S), större träfjäril (S), vågbandad barkbock (S), mattlummer (T, §9),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