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24 naturvårdsarter, varav 13 är rödlistade, 6 är fridlysta, 14 är typiska (T) och 7 är signalarter (S): knärot (VU, T, §8), raggbock (VU, T), barrpraktbagge (NT), dropptaggsvamp (NT, T), dvärgbägarlav (NT, T), gropticka (NT, T), kolflarnlav (NT, T), motaggsvamp (NT, T), skrovlig flatbagge (NT, T), tallkötticka (NT), talltita (NT, §4), vedskivlav (NT, T), vedtrappmossa (NT, T), björksplintborre (S), flagellkvastmossa (S, T), granbarkgnagare (S, T), gullgröppa (S), jättesvampmal (S), större träfjäril (S), vågbandad barkbock (S), mattlummer (T, §9),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gropticka (NT, T), kolflarnlav (NT, T), motaggsvamp (NT, T), skrovlig flatbagge (NT, T), vedskivlav (NT, T), vedtrappmossa (NT, T), flagellkvastmossa (S, T), granbarkgnagare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