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8323-2023 i Uppsala kommun</w:t>
      </w:r>
    </w:p>
    <w:p>
      <w:r>
        <w:t>Detta klagomål behandlar höga naturvärden i avverkningsanmälan A 8323-2023 i Uppsala kommun som inkom 2023-02-17 och omfattar 9,4 ha.</w:t>
      </w:r>
    </w:p>
    <w:p>
      <w:pPr>
        <w:pStyle w:val="Caption"/>
      </w:pPr>
      <w:r>
        <w:drawing>
          <wp:inline xmlns:a="http://schemas.openxmlformats.org/drawingml/2006/main" xmlns:pic="http://schemas.openxmlformats.org/drawingml/2006/picture">
            <wp:extent cx="5252867" cy="5724000"/>
            <wp:docPr id="1" name="Picture 1"/>
            <wp:cNvGraphicFramePr>
              <a:graphicFrameLocks noChangeAspect="1"/>
            </wp:cNvGraphicFramePr>
            <a:graphic>
              <a:graphicData uri="http://schemas.openxmlformats.org/drawingml/2006/picture">
                <pic:pic>
                  <pic:nvPicPr>
                    <pic:cNvPr id="0" name="A 8323-2023 karta.png"/>
                    <pic:cNvPicPr/>
                  </pic:nvPicPr>
                  <pic:blipFill>
                    <a:blip r:embed="rId16"/>
                    <a:stretch>
                      <a:fillRect/>
                    </a:stretch>
                  </pic:blipFill>
                  <pic:spPr>
                    <a:xfrm>
                      <a:off x="0" y="0"/>
                      <a:ext cx="5252867" cy="5724000"/>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6649836, E 629087 i SWEREF 99 TM.</w:t>
      </w:r>
    </w:p>
    <w:p>
      <w:r>
        <w:t>I och inom 25 meter från avverkningsanmälan finns fynd av 6 naturvårdsarter, varav 1 är rödlistad, 3 är fridlysta, 3 är typiska (T) och 2 är signalarter (S): tallkötticka (NT), blodticka (S, T), grönpyrola (S, T), tjäder (T, §4), vanlig groda (§6)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Tallkötticka (NT)</w:t>
      </w:r>
      <w:r>
        <w:t xml:space="preserve"> är tallens kötticka och har ofta ett mer resupinat växtsätt än den granlevande köttickan </w:t>
      </w:r>
      <w:r>
        <w:rPr>
          <w:i/>
        </w:rPr>
        <w:t>Leptoporus mollis</w:t>
      </w:r>
      <w:r>
        <w:t>. Artens förekomstarea och utbredning i Sverige är inte känd, men utifrån de fynd som rapporteras av kötticka på tall verkar den vara mer ovanlig än den granlevande. Den totala populationen bedöms därför ha minskat under de senaste 30 åren och fortsätter att minska i takt med att kontinuitetsskogar (skogar som inte kalavverkats) minskar i areal, samtidigt som att lämpliga miljöer inte återskapas i samma takt. Minskningstakten för den svenska populationen bedöms vara nära gränsvärdet för Sårbar (VU). (A2c+3c+4c) (SLU Artdatabanken, 2024; Nitare &amp; Skogsstyrelsen, 2019).</w:t>
      </w:r>
    </w:p>
    <w:p>
      <w:r>
        <w:rPr>
          <w:b/>
        </w:rPr>
        <w:t xml:space="preserve">Blodticka </w:t>
      </w:r>
      <w:r>
        <w:t xml:space="preserve">är i norra Sverige främst knuten till grova granlågor i urskogsartad barrskog, men förekommer ibland även på klenare granar i anslutning till bäckar och sumpskogar. Den är en bra indikator på granskogar med höga naturvärden och oftast förekommer den tillsammans med ett stort antal ovanliga och rödlistade arter. I södra Sverige växer den framför allt på tall och har då ett lägre signalvärde. Blodticka är typisk art för </w:t>
      </w:r>
      <w:r>
        <w:rPr>
          <w:i/>
        </w:rPr>
        <w:t>9030 Landhöjningsskog</w:t>
      </w:r>
      <w:r>
        <w:t xml:space="preserve"> (SLU Artdatabanken, 2025; Nitare &amp; Skogsstyrelsen, 2019).</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