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w:t>
      </w:r>
    </w:p>
    <w:p>
      <w:r>
        <w:t xml:space="preserve">IUCN, 2010. </w:t>
      </w:r>
      <w:r>
        <w:rPr>
          <w:i/>
        </w:rPr>
        <w:t>Cucujus cinnaberinus</w:t>
      </w:r>
      <w:r>
        <w:t>. The IUCN Red List of Threatened Species.</w:t>
      </w:r>
    </w:p>
    <w:p>
      <w:r>
        <w:t>SLU Artdatabanken, 2024.</w:t>
      </w:r>
      <w:r>
        <w:rPr>
          <w:i/>
        </w:rPr>
        <w:t xml:space="preserve"> Artfakta: cinnoberbagge (Cucujus cinnaberinus)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