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31276-2020 i Uppsala kommun</w:t>
      </w:r>
    </w:p>
    <w:p>
      <w:r>
        <w:t>Detta dokument behandlar höga naturvärden i avverkningsanmälan A 31276-2020 i Uppsala kommun. Denna avverkningsanmälan inkom 2020-06-30 och omfattar 32,8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34 naturvårdsarter hittats: bombmurkla (VU, §8), bullspindling (VU), grangråticka (VU), rynkskinn (VU), violgubbe (VU), druvfingersvamp (NT), kandelabersvamp (NT), koralltaggsvamp (NT), persiljespindling (NT), spillkråka (NT, §4), svart taggsvamp (NT), tallticka (NT), talltita (NT, §4), ullticka (NT), vit vedfingersvamp (NT), barrfagerspindling (S), blomkålssvamp (S), bronshjon (S), bårdlav (S), dvärgtufs (S), fjällig taggsvamp s.str. (S), granbarkgnagare (S), granriska (S), hasselticka (S), skarp dropptaggsvamp (S), skinnlav (S), stor aspticka (S), svavelriska (S), tjockfotad fingersvamp (S), trådticka (S), zontaggsvamp (S), större vattensalamander (§4a), mindre vattensalamander (§6) och blåsippa (§9). Av dessa är 15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27648"/>
            <wp:docPr id="1" name="Picture 1"/>
            <wp:cNvGraphicFramePr>
              <a:graphicFrameLocks noChangeAspect="1"/>
            </wp:cNvGraphicFramePr>
            <a:graphic>
              <a:graphicData uri="http://schemas.openxmlformats.org/drawingml/2006/picture">
                <pic:pic>
                  <pic:nvPicPr>
                    <pic:cNvPr id="0" name="A 31276-2020 karta.png"/>
                    <pic:cNvPicPr/>
                  </pic:nvPicPr>
                  <pic:blipFill>
                    <a:blip r:embed="rId16"/>
                    <a:stretch>
                      <a:fillRect/>
                    </a:stretch>
                  </pic:blipFill>
                  <pic:spPr>
                    <a:xfrm>
                      <a:off x="0" y="0"/>
                      <a:ext cx="5486400" cy="62276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6648850, E 650081 i SWEREF 99 TM.</w:t>
      </w:r>
    </w:p>
    <w:p>
      <w:r>
        <w:rPr>
          <w:b/>
        </w:rPr>
        <w:t>Bullspindling (VU)</w:t>
      </w:r>
      <w:r>
        <w:t xml:space="preserve"> är en kräsen och mycket bra signalart för skyddsvärda äldre granskogar på kalkrik mark. Den är placerad högst upp i Skogsstyrelsens värdepyramid för bedömning av skog med höga naturvärden och skogsbruk, främst kalavverkning utgör ett stort hot mot arten. Artens minskningstakt uppgår till 30 % inom 50 år och överstiger gränsvärdet för Sårbar (VU) (SLU Artdatabanken, 2024; Nitare &amp; Skogsstyrelsen, 2019).</w:t>
      </w:r>
    </w:p>
    <w:p>
      <w:r>
        <w:rPr>
          <w:b/>
        </w:rPr>
        <w:t xml:space="preserve">Druvfingersvamp (NT) </w:t>
      </w:r>
      <w:r>
        <w:t>växer i skogar med lång skoglig kontinuitet och uppträder gärna på ytor med tunna humuslager och blottad mineraljord, t.ex. i sluttningar eller i närheten av stigar. Den är placerad högst upp i Skogsstyrelsens värdepyramid för bedömning av skog med höga naturvärden och all form av skogsavverkning innebär hot. Arten tål inte en slutavverkning och lokalerna bör undantas från rationella skogsbruksmetoder och inkluderas i formellt skyddad skog. Druvfingersvampar utgör en liten grupp snarlika arter, vilka utgör ett artkomplex som är under utredning. Gruppen omfattar minst fem olika arter i Sverige, men tills vidare behandlas druvfingersvamp här i en klassisk kollektiv bemärkelse som en enda art (SLU Artdatabanken, 2024; Nitare &amp; Skogsstyrelsen, 2019).</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(SLU Artdatabanken, 2024; Nitare &amp; Skogsstyrelsen, 2019).</w:t>
      </w:r>
    </w:p>
    <w:p>
      <w:r>
        <w:rPr>
          <w:b/>
        </w:rPr>
        <w:t>Kandelabersvamp (NT)</w:t>
      </w:r>
      <w:r>
        <w:t xml:space="preserve"> är en mycket bra signalart på skyddsvärda skogsbestånd i hela sitt utbredningsområde. Svampen indikerar sena aspsuccessioner inom områden med konstant hög luftfuktighet (Nitare &amp; Skogsstyrelsen, 2019).</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(SLU Artdatabanken, 2024; Nitare &amp; Skogsstyrelsen, 2019).</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Violgubbe (VU)</w:t>
      </w:r>
      <w:r>
        <w:t xml:space="preserve"> bildar mykorrhiza med gran och bok och ev. andra trädslag i ängsgran- och ängsbokskog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2024; Nitare &amp; Skogsstyrelsen, 2019; Aronsson, 2006).</w:t>
      </w:r>
    </w:p>
    <w:p>
      <w:r>
        <w:rPr>
          <w:b/>
        </w:rPr>
        <w:t>Vit vedfingersvamp (NT)</w:t>
      </w:r>
      <w:r>
        <w:t xml:space="preserve"> växer på murken lövved, främst grova och barklösa asplågor. Svampen indikerar sena aspsuccessioner inom områden med konstant hög luftfuktighet. Raviner, bergrötter och liknande platser med skuggiga förhållanden och fuktig mark med ett stort inslag av lövträd är exempel på biotoper där vit vedfingersvamp ofta växer och dessa bör undantas från skogsbruk (SLU Artdatabanken, 2024; Nitare &amp; Skogsstyrelsen, 2019).</w:t>
      </w:r>
    </w:p>
    <w:p>
      <w:pPr>
        <w:pStyle w:val="Heading1"/>
      </w:pPr>
      <w:r>
        <w:t>Fridlysta arter</w:t>
      </w:r>
    </w:p>
    <w:p>
      <w:r>
        <w:t>Följande fridlysta arter har sina livsmiljöer och växtplatser i den avverkningsanmälda skogen: bombmurkla (VU, §8), spillkråka (NT, §4), talltita (NT, §4), större vattensalamander (§4a), mindre vattensalamander (§6)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 xml:space="preserve">Bombmurkla (VU, §8) </w:t>
      </w:r>
      <w:r>
        <w:t>indikerar en speciell och hotad granskogstyp på naturligt näringsrika sandjordar och är placerad högst upp i Skogsstyrelsens värdepyramid för bedömning av skog med höga naturvärden. Den tål inte slutavverkning eller kraftig gallring och är endast påträffad i områden som har långvarig skogskontinuitet med gran. Bombmurkla är fridlyst enligt 8 § artskyddsförordningen, omfattas av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2024; Nitare &amp; Skogsstyrelsen, 2019; Naturvårdsverket, 2010).</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34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