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23 naturvårdsarter, varav 12 är rödlistade, 4 är fridlysta, 13 är typiska (T) och 8 är signalarter (S): granrotspindling (VU), knärot (VU, T, §8), rosetticka (VU), rotfingersvamp (VU), fjällig taggsvamp s.str. (NT), motaggsvamp (NT, T), orange taggsvamp (NT, T), rynkskinn (NT, T), talltita (NT, §4), ullticka (NT, T), vedtrappmossa (NT, T), vågticka (NT), brandticka (S), granbarkgnagare (S, T), gullgröppa (S), rödgul trumpetsvamp (S), svavelriska (S), trådticka (S, T), underviol (S, T), vedticka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