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22347-2026 i Uppsala kommun</w:t>
      </w:r>
    </w:p>
    <w:p>
      <w:r>
        <w:t>Detta klagomål behandlar höga naturvärden i avverkningsanmälan A 22347-2026 i Uppsala kommun som inkom 2026-05-12 och omfattar 3,6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2347-2026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6662852, E 634028 i SWEREF 99 TM.</w:t>
      </w:r>
    </w:p>
    <w:p>
      <w:r>
        <w:t>I och inom 14 meter från avverkningsanmälan finns fynd av 21 naturvårdsarter, varav 6 är rödlistade, 6 är fridlysta, 17 är typiska (T) och 9 är signalarter (S): knärot (VU, T, §8), brunpudrad nållav (NT, T), kattfotslav (NT, T), platt spretmossa (NT, T), ullticka (NT, T), vedtrappmossa (NT, T), björksplintborre (S), bronshjon (S, T), flagellkvastmossa (S, T), granbarkgnagare (S, T), grön sköldmossa (S, T, §8), gulnål (S, T), stubbspretmossa (S, T), vedticka (S, T), vågbandad barkbock (S), blåsippa (T, §9), glansfläck (T), kransmossa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34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6662852, E 634028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