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dokument behandlar höga naturvärden i avverkningsanmälan A 51297-2024 i Uppsala kommun. Denna avverkningsanmälan inkom 2024-11-07 och omfattar 322,7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bombmurkla (VU, §8), vinterhämpling (VU, §4), västlig njurlav (VU), duvhök (NT, §4), grynig filtlav (NT), grön aspvedbock (NT), järpe (NT, §4), koralltaggsvamp (NT), lunglav (NT), mindre hackspett (NT, §4), rödvingetrast (NT, §4), slaguggla (NT, §4), spillkråka (NT, §4), talltita (NT, §4), tretåig hackspett (NT, §4), ullticka (NT), vippärt (NT), barkticka (S), bårdlav (S), platt fjädermossa (S), rävticka (S), skinnlav (S), stor aspticka (S), stuplav (S), trådticka (S) och skogsduva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bombmurkla (VU, §8), vinterhämpling (VU, §4), duvhök (NT, §4), järpe (NT, §4), mindre hackspett (NT, §4), rödvingetrast (NT, §4), slaguggla (NT, §4), spillkråka (NT, §4), talltita (NT, §4), tretåig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