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38085-2025 i Uppsala kommun</w:t>
      </w:r>
    </w:p>
    <w:p>
      <w:r>
        <w:t>Denna tillsynsbegäran behandlar höga naturvärden i avverkningsanmälan A 38085-2025 i Uppsala kommun som inkom 2025-08-13 och omfattar 7,4 ha.</w:t>
      </w:r>
    </w:p>
    <w:p>
      <w:pPr>
        <w:pStyle w:val="Caption"/>
      </w:pPr>
      <w:r>
        <w:drawing>
          <wp:inline xmlns:a="http://schemas.openxmlformats.org/drawingml/2006/main" xmlns:pic="http://schemas.openxmlformats.org/drawingml/2006/picture">
            <wp:extent cx="5486400" cy="5625917"/>
            <wp:docPr id="1" name="Picture 1"/>
            <wp:cNvGraphicFramePr>
              <a:graphicFrameLocks noChangeAspect="1"/>
            </wp:cNvGraphicFramePr>
            <a:graphic>
              <a:graphicData uri="http://schemas.openxmlformats.org/drawingml/2006/picture">
                <pic:pic>
                  <pic:nvPicPr>
                    <pic:cNvPr id="0" name="A 38085-2025 karta.png"/>
                    <pic:cNvPicPr/>
                  </pic:nvPicPr>
                  <pic:blipFill>
                    <a:blip r:embed="rId16"/>
                    <a:stretch>
                      <a:fillRect/>
                    </a:stretch>
                  </pic:blipFill>
                  <pic:spPr>
                    <a:xfrm>
                      <a:off x="0" y="0"/>
                      <a:ext cx="5486400" cy="5625917"/>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6659989, E 634016 i SWEREF 99 TM.</w:t>
      </w:r>
    </w:p>
    <w:p>
      <w:r>
        <w:t>I och inom 22 meter från avverkningsanmälan finns fynd av 24 naturvårdsarter, varav 11 är rödlistade, 5 är fridlysta, 15 är typiska (T) och 10 är signalarter (S): violgubbe (EN), blackticka (VU), garnlav (VU, T), knärot (VU, T, §8), Blastenia relicta (NT), nötkråka (NT, T, §4), rynkskinn (NT, T), tallfingersvamp (NT), talltita (NT, §4), ullticka (NT, T), vedtrappmossa (NT, T), barkticka (S, T), björksplintborre (S), blodticka (S, T), brandticka (S), granbarkgnagare (S, T), grov fjädermossa (S, T), platt fjädermossa (S, T), skinnlav (S, T), vedticka (S, T), vågbandad barkbock (S), kransmossa (T), spillkråka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Violgubbe (EN)</w:t>
      </w:r>
      <w:r>
        <w:t xml:space="preserve"> är en starkt hotad art som bildar mykorrhiza med gran och bok och ev. andra trädslag i äldre ängsgran- och ängsbokskog med lång kontinuitet, främst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2026; Nitare &amp; Skogsstyrelsen, 2019; Aronsson, 2006).</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27 fyndplatser för knärot registrerade på Artportalen. Figur 2 visar gränserna för buffertzoner på 50 m, som behöver lämnas kring fyndplatserna för att knärotslokalerna inte ska försvinna vid en avverkning. Av det avverkningsanmälda området överlappar 3.52 ha med buffertzonerna och får av detta skäl inte avverkas.</w:t>
      </w:r>
    </w:p>
    <w:p>
      <w:pPr>
        <w:pStyle w:val="Caption"/>
      </w:pPr>
      <w:r>
        <w:drawing>
          <wp:inline xmlns:a="http://schemas.openxmlformats.org/drawingml/2006/main" xmlns:pic="http://schemas.openxmlformats.org/drawingml/2006/picture">
            <wp:extent cx="5486400" cy="5150806"/>
            <wp:docPr id="2" name="Picture 2"/>
            <wp:cNvGraphicFramePr>
              <a:graphicFrameLocks noChangeAspect="1"/>
            </wp:cNvGraphicFramePr>
            <a:graphic>
              <a:graphicData uri="http://schemas.openxmlformats.org/drawingml/2006/picture">
                <pic:pic>
                  <pic:nvPicPr>
                    <pic:cNvPr id="0" name="A 38085-2025 karta knärot.png"/>
                    <pic:cNvPicPr/>
                  </pic:nvPicPr>
                  <pic:blipFill>
                    <a:blip r:embed="rId17"/>
                    <a:stretch>
                      <a:fillRect/>
                    </a:stretch>
                  </pic:blipFill>
                  <pic:spPr>
                    <a:xfrm>
                      <a:off x="0" y="0"/>
                      <a:ext cx="5486400" cy="515080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6659989, E 634016 i SWEREF 99 TM.</w:t>
      </w:r>
    </w:p>
    <w:p>
      <w:r>
        <w:rPr>
          <w:b/>
          <w:i/>
        </w:rPr>
        <w:t xml:space="preserve">Blastenia relicta </w:t>
      </w:r>
      <w:r>
        <w:rPr>
          <w:b/>
        </w:rPr>
        <w:t>(NT)</w:t>
      </w:r>
      <w:r>
        <w:t xml:space="preserve"> är en rostorangelav som växer på aspgrenar, men även på stammar på senvuxna, öppet stående träd. I södra Sverige växer den ibland på ädellövträd. Arten har i södra och mellersta Sverige minskat, sannolikt dels p.g.a. att antalet senvuxna aspar i skogsmark blivit färre. Kända lokaler bör skyddas (SLU Artdatabanken, 2026).</w:t>
      </w:r>
    </w:p>
    <w:p>
      <w:r>
        <w:rPr>
          <w:b/>
        </w:rPr>
        <w:t>Nötkråka (NT, §4)</w:t>
      </w:r>
      <w:r>
        <w:t xml:space="preserve"> är uppdelad på de två underarterna tjocknäbbad nötkråka (NT) som häckar i mossrik granskog med närbelägna hasselbestånd i södra och mellersta Sverige samt smalnäbbad nötkråka som är specialiserad på sibirisk cembratall i norra Sverige. Minskningstakten, som framför allt rör den tjocknäbbade nötkråkan (NT), har uppgått till 25 (10–40) % under de senaste 15 åren och bedöms vara nära gränsvärdet för sårbar (VU). Minskningen avser förekomstarea, kvalitén på artens habitat (minskad förekomst av hassel och försämrade häckningsmiljöer i barrskog) och antalet reproduktiva individer. Reviren har en storlek på 12–15 hektar och den häckar i mossrik äldre granskog med närbelägna hasselbestånd inom 5–6 km avstånd från häckningsområdet.</w:t>
      </w:r>
    </w:p>
    <w:p>
      <w:r>
        <w:t xml:space="preserve">Avverkning, gallring och röjning av såväl granskog i häckningsreviret som hassel i födosöksområdena missgynnar nötkråkan kraftigt och det kan ta åtskilliga decennier innan skogen åter blir lämplig för häckning. För att säkerställa existensen för den tjocknäbbade nötkråkan bör de förekomster av hassel, som nu visat sig tillräckliga för nötkråkan, bevaras. Hasselbuskar bör inte huggas ned i hagmarker eller intill åkrar där nötkråkor födosöker, eftersom dessa fristående buskar ger betydligt mer nötter än hasselbuskar som står i skog. Likaså är bevarande av nuvarande karaktär hos sådan granskog, som nu genom angränsande hasselförekomst visat sig kunna hysa en nötkråkestam, nödvändig. Nötkråka är typisk art för </w:t>
      </w:r>
      <w:r>
        <w:rPr>
          <w:i/>
        </w:rPr>
        <w:t>9010 Taiga</w:t>
      </w:r>
      <w:r>
        <w:t xml:space="preserve"> (SLU Artdatabanken, 2026; Skogsstyrelsen, 2016).</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 xml:space="preserve">Tallfingersvamp (NT) </w:t>
      </w:r>
      <w:r>
        <w:t>bildar mykorrhiza med tall och gran i äldre barrskog, framför allt sandtallskog men även i annan näringsfattig barrskog, huvudsakligen i äldre kontinuitetsskog. Den totala populationen i landet har minskat och bedöms fortsätta minska till följd av avverkning av barrskogar med trädkontinuitet. Minskningstakten för den svenska populationen bedöms vara nära gränsvärdet för Sårbar (VU). Slutavverkning, gödsling eller exploatering måste undvikas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 xml:space="preserve">Grov fjädermossa </w:t>
      </w:r>
      <w:r>
        <w:t xml:space="preserve">påträffas i gammal ädellövskog och på kalkrika bergväggar i äldre barrskog. Arten är placerad högst upp i Skogsstyrelsens värdepyramid för bedömning av skog med höga naturvärden och visar på lokaler som haft lång trädkontinuitet och stabilt mikroklimat. Grov fjädermossa är typisk art för </w:t>
      </w:r>
      <w:r>
        <w:rPr>
          <w:i/>
        </w:rPr>
        <w:t>9020 Nordlig ädellövskog, 9110 Näringsfattig bokskog, 9130 Näringsrik bokskog, 9160 Näringsrik ekskog, 9180 Ädellövskog i branter</w:t>
      </w:r>
      <w:r>
        <w:t xml:space="preserve"> och </w:t>
      </w:r>
      <w:r>
        <w:rPr>
          <w:i/>
        </w:rPr>
        <w:t>9190 Näringsfattig ekskog</w:t>
      </w:r>
      <w:r>
        <w:t xml:space="preserve"> (Nitare &amp; Skogsstyrelsen, 2019; SLU Artdatabanken, 2025).</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nötkråka (NT, T, §4), rynkskinn (NT, T), ullticka (NT, T), vedtrappmossa (NT, T), barkticka (S, T), blodticka (S, T), granbarkgnagare (S, T), grov fjädermossa (S, T), platt fjädermossa (S, T), skinnlav (S, T), vedticka (S, T), kransmossa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