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3775-2023 i Uppsala kommun</w:t>
      </w:r>
    </w:p>
    <w:p>
      <w:r>
        <w:t>Detta klagomål behandlar höga naturvärden i samrådsanmälan S 3775-2023 i Uppsala kommun som inkom 2023-10-24 och omfattar 13,7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S 3775-2023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6639251, E 642690 i SWEREF 99 TM.</w:t>
      </w:r>
    </w:p>
    <w:p>
      <w:r>
        <w:t>I och inom 25 meter från samrådsanmälan finns fynd av 18 naturvårdsarter, varav 12 är rödlistade, 2 är fridlysta, 7 är typiska (T) och 4 är signalarter (S): lilafotad fingersvamp (EN), violgubbe (EN), gul taggsvamp (VU, T), svartfjällig musseron (VU), blek fingersvamp (NT), dofttaggsvamp (NT, T), dropptaggsvamp (NT, T), gultoppig fingersvamp (NT), motaggsvamp (NT, T), orange taggsvamp (NT, T), skarp dropptaggsvamp (NT), spinnfingersvamp (NT), blomkålssvamp (S), gulröd blankbock (S), rävticka (S, T), zontaggsvamp (S),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703975"/>
            <wp:docPr id="2" name="Picture 2"/>
            <wp:cNvGraphicFramePr>
              <a:graphicFrameLocks noChangeAspect="1"/>
            </wp:cNvGraphicFramePr>
            <a:graphic>
              <a:graphicData uri="http://schemas.openxmlformats.org/drawingml/2006/picture">
                <pic:pic>
                  <pic:nvPicPr>
                    <pic:cNvPr id="0" name="S 3775-2023 karta knärot.png"/>
                    <pic:cNvPicPr/>
                  </pic:nvPicPr>
                  <pic:blipFill>
                    <a:blip r:embed="rId17"/>
                    <a:stretch>
                      <a:fillRect/>
                    </a:stretch>
                  </pic:blipFill>
                  <pic:spPr>
                    <a:xfrm>
                      <a:off x="0" y="0"/>
                      <a:ext cx="5486400" cy="470397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6639251, E 642690 i SWEREF 99 TM.</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Gulröd blankbock</w:t>
      </w:r>
      <w:r>
        <w:rPr>
          <w:b/>
          <w:i/>
        </w:rPr>
        <w:t xml:space="preserve"> </w:t>
      </w:r>
      <w:r>
        <w:t>är en långhorning vars larvutveckling sker i och under solexponerad, torr bark på döda grenar och stamdelar (ofta 15–30 cm diameter) av lövträd. I Sverige såvitt känt enbart på asp. Arten påverkas negativt av brist på död ved och det föreligger indikation på eller misstanke om populationsminskning (SLU Artdatabanken, 2025).</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