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2985-2024 i Enköpings kommun</w:t>
      </w:r>
    </w:p>
    <w:p>
      <w:r>
        <w:t>Denna tillsynsbegäran behandlar höga naturvärden i samrådsanmälan S 2985-2024 i Enköpings kommun som inkom 2024-08-07 och omfattar 9,8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S 2985-2024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6628700, E 633475 i SWEREF 99 TM.</w:t>
      </w:r>
    </w:p>
    <w:p>
      <w:r>
        <w:t>I samrådsanmälan finns fynd av 7 naturvårdsarter, varav 6 är rödlistade, 4 är typiska (T) och 1 är signalart (S): almrostöra (EN), prakttagging (EN, T), almsprängticka (VU), gulvit blekspik (VU, T), liten blekspik (VU, T), svartöra (NT, T)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Almsprängticka (VU)</w:t>
      </w:r>
      <w:r>
        <w:t xml:space="preserve"> är en nedbrytare i ved under barken på alm, vanligen på grova levande träd. Växer i almskog, park, allé och blandad ädellövskog. Lätt att förbise eftersom fruktkropparna växer på insidan av barken. Total population i landet bedöms ha minskat och fortgående att minska kraftigt p.g.a. almsjukan. Minskningstakten överstiger gränsvärdet för sårbar (VU) (SLU Artdatabanken, 2026).</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