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19961-2022 i Enköpings kommun</w:t>
      </w:r>
    </w:p>
    <w:p>
      <w:r>
        <w:t>Detta klagomål behandlar höga naturvärden i avverkningsanmälan A 19961-2022 i Enköpings kommun som inkom 2022-05-16 och omfattar 1,2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9961-2022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6616476, E 621183 i SWEREF 99 TM.</w:t>
      </w:r>
    </w:p>
    <w:p>
      <w:r>
        <w:t>I och inom 25 meter från avverkningsanmälan finns fynd av 27 naturvårdsarter, varav 15 är rödlistade, 4 är fridlysta, 8 är typiska (T) och 9 är signalarter (S): violgubbe (EN), duvspindling (VU), gyllenspindling (VU), rosetticka (VU), stor odörspindling (VU), svartfjällig musseron (VU), fjällig taggsvamp s.str. (NT), flattoppad klubbsvamp (NT), fyrflikig jordstjärna (NT, T), kryddspindling (NT, T), kungsspindling (NT), skarp dropptaggsvamp (NT), svartvit taggsvamp (NT), tallticka (NT, T), ullticka (NT, T), anisspindling (S), brandmusseron (S), diskvaxskivling (S), grön sköldmossa (S, T, §8), mörk husmossa (S, T), rödgul trumpetsvamp (S), svavelriska (S), vedticka (S, T), vågbandad barkbock (S), blåsippa (T, §9),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