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4995-2024 i Enköpings kommun</w:t>
      </w:r>
    </w:p>
    <w:p>
      <w:r>
        <w:t>Denna tillsynsbegäran behandlar höga naturvärden i samrådsanmälan S 4995-2024 i Enköpings kommun som inkom 2024-12-05 och omfattar 10,4 ha.</w:t>
      </w:r>
    </w:p>
    <w:p>
      <w:pPr>
        <w:pStyle w:val="Caption"/>
      </w:pPr>
      <w:r>
        <w:drawing>
          <wp:inline xmlns:a="http://schemas.openxmlformats.org/drawingml/2006/main" xmlns:pic="http://schemas.openxmlformats.org/drawingml/2006/picture">
            <wp:extent cx="5486400" cy="5060356"/>
            <wp:docPr id="1" name="Picture 1"/>
            <wp:cNvGraphicFramePr>
              <a:graphicFrameLocks noChangeAspect="1"/>
            </wp:cNvGraphicFramePr>
            <a:graphic>
              <a:graphicData uri="http://schemas.openxmlformats.org/drawingml/2006/picture">
                <pic:pic>
                  <pic:nvPicPr>
                    <pic:cNvPr id="0" name="S 4995-2024 karta.png"/>
                    <pic:cNvPicPr/>
                  </pic:nvPicPr>
                  <pic:blipFill>
                    <a:blip r:embed="rId16"/>
                    <a:stretch>
                      <a:fillRect/>
                    </a:stretch>
                  </pic:blipFill>
                  <pic:spPr>
                    <a:xfrm>
                      <a:off x="0" y="0"/>
                      <a:ext cx="5486400" cy="506035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6602347, E 617718 i SWEREF 99 TM.</w:t>
      </w:r>
    </w:p>
    <w:p>
      <w:r>
        <w:t>I samrådsanmälan finns fynd av 3 naturvårdsarter, varav 1 är rödlistad och 2 är signalarter (S): jättekamskivling (NT), gulmjölkig storskål (S) och spindelbock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Jättekamskivling (NT)</w:t>
      </w:r>
      <w:r>
        <w:t xml:space="preserve"> är en sällsynt svamp som tillhör ädellövskogsfloran där den bildar mykorrhiza med lövträd, bl.a. ek och bok. Den är överallt en bra signalart och indikerar lång trädkontinuitet i ädellövskog på kalkhaltig mark (SLU Artdatabanken, 2024; Nitare &amp; Skogsstyrelsen, 2019).</w:t>
      </w:r>
    </w:p>
    <w:p>
      <w:r>
        <w:rPr>
          <w:b/>
        </w:rPr>
        <w:t xml:space="preserve">Gulmjölkig storskål </w:t>
      </w:r>
      <w:r>
        <w:t>visar på rika ädellövskogar och lundar med höga naturvärden och speciella markförhållanden där den kalkhaltiga jorden är något fuktig och långvarigt beskuggad. Gulmjölkig storskål utgör en karaktärsart i exempelvis gamla slutna öländska hässlen och lundar där den ibland uppträder rikligt, nästan alltid tillsammans med andra ovanliga och rödlistade arter (Nitare &amp; Skogsstyrelsen, 2019).</w:t>
      </w:r>
    </w:p>
    <w:p>
      <w:r>
        <w:rPr>
          <w:b/>
        </w:rPr>
        <w:t>Spindelbock</w:t>
      </w:r>
      <w:r>
        <w:t xml:space="preserve"> är en långhorning vars larvutveckling sker under barken på nyligen döda grenar och stammar av olika lövträd, främst björk och asp, men även klibbal, ek, hassel, sälg och andra trädslag. Det föreligger indikation på eller misstanke om populationsminskning. Minskningen avser kvalitén på artens habitat på grund av fortsatt snabb avverkning av kontinuitetsskog i norra Sverige, samt ett ökat utnyttjande av flisved (GROT) för energiändamål och röjning i hagmarker på grund av ändrade miljöersättningsregler i den södra halvan av landet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