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21810-2026 i Enköpings kommun</w:t>
      </w:r>
    </w:p>
    <w:p>
      <w:r>
        <w:t>Denna tillsynsbegäran behandlar höga naturvärden i avverkningsanmälan A 21810-2026 i Enköpings kommun som inkom 2026-05-08 och omfattar 13,3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6634568, E 602424 i SWEREF 99 TM.</w:t>
      </w:r>
    </w:p>
    <w:p>
      <w:r>
        <w:t>I och inom 25 meter från avverkningsanmälan finns fynd av 17 naturvårdsarter, varav 5 är rödlistade, 5 är fridlysta, 13 är typiska (T) och 8 är signalarter (S): knärot (VU, T, §8), motaggsvamp (NT, T), rynkskinn (NT, T), talltita (NT, §4), ullticka (NT, T), björksplintborre (S), blodticka (S, T), bronshjon (S, T), grönpyrola (S, T), källpraktmossa (S, T), trådticka (S, T), vedticka (S, T), vågbandad barkbock (S), mattlummer (T, §9), missne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21810-2026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rynkskinn (NT, T), ullticka (NT, T), blodticka (S, T), bronshjon (S, T), grönpyrola (S, T), källpraktmossa (S, T), trådticka (S, T), vedticka (S, T), mattlummer (T, §9), missne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