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60289-2022 i Enköpings kommun</w:t>
      </w:r>
    </w:p>
    <w:p>
      <w:r>
        <w:t>Denna tillsynsbegäran behandlar höga naturvärden i avverkningsanmälan A 60289-2022 i Enköpings kommun som inkom 2022-12-15 och omfattar 3,2 ha.</w:t>
      </w:r>
    </w:p>
    <w:p>
      <w:pPr>
        <w:pStyle w:val="Caption"/>
      </w:pPr>
      <w:r>
        <w:drawing>
          <wp:inline xmlns:a="http://schemas.openxmlformats.org/drawingml/2006/main" xmlns:pic="http://schemas.openxmlformats.org/drawingml/2006/picture">
            <wp:extent cx="4177930" cy="5724000"/>
            <wp:docPr id="1" name="Picture 1"/>
            <wp:cNvGraphicFramePr>
              <a:graphicFrameLocks noChangeAspect="1"/>
            </wp:cNvGraphicFramePr>
            <a:graphic>
              <a:graphicData uri="http://schemas.openxmlformats.org/drawingml/2006/picture">
                <pic:pic>
                  <pic:nvPicPr>
                    <pic:cNvPr id="0" name="A 60289-2022 karta.png"/>
                    <pic:cNvPicPr/>
                  </pic:nvPicPr>
                  <pic:blipFill>
                    <a:blip r:embed="rId16"/>
                    <a:stretch>
                      <a:fillRect/>
                    </a:stretch>
                  </pic:blipFill>
                  <pic:spPr>
                    <a:xfrm>
                      <a:off x="0" y="0"/>
                      <a:ext cx="4177930" cy="5724000"/>
                    </a:xfrm>
                    <a:prstGeom prst="rect"/>
                  </pic:spPr>
                </pic:pic>
              </a:graphicData>
            </a:graphic>
          </wp:inline>
        </w:drawing>
      </w:r>
    </w:p>
    <w:p>
      <w:pPr>
        <w:pStyle w:val="Caption"/>
        <w:spacing w:after="240"/>
      </w:pPr>
      <w:r>
        <w:t>Figur 1. Fyndplatser för naturvårdsarter inom 22 meter från avverkningsanmälan. Markörer utan svart kant är placerade på fyndplatsen. Markörer med svart kant är placerade vid sidan av fyndplatsen och har ett svart streck som visar fyndplatsens exakta position. Kartans mittpunktskoordinat är N 6595946, E 637602 i SWEREF 99 TM.</w:t>
      </w:r>
    </w:p>
    <w:p>
      <w:r>
        <w:t>Inom 22 meter från avverkningsanmälan finns fynd av 1 naturvårdsarter, varav 1 är typisk (T) och 1 är signalart (S): mindre märgborre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Mindre märgborre</w:t>
      </w:r>
      <w:r>
        <w:t xml:space="preserve"> är en signalart för tallskog med höga naturvärden och betraktas tillsammans med skarptandad barkborre som nyckelarter för ett antal sällsynta åtgärdsprogramsarter som är beroende av deras gångsystem. Bland dessa kan nämnas avlång barkborre (VU), </w:t>
      </w:r>
      <w:r>
        <w:rPr>
          <w:i/>
        </w:rPr>
        <w:t>Corticeus longulus</w:t>
      </w:r>
      <w:r>
        <w:t xml:space="preserve"> (VU), tallgångbagge (VU), cholodkovskys bastborre (NT) och tallbarksvartbagge (NT). Den mindre märgborrens måsvingeliknande gnaggångar är lätta att känna igen och hittas ofta på grova tallgrenar på marken. 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(SLU Artdatabanken, 2026; Pettersson, 2014; Hedgren, 2012; Gunnarsson m fl., 1999).</w:t>
      </w:r>
    </w:p>
    <w:p>
      <w:r>
        <w:br w:type="page"/>
      </w:r>
    </w:p>
    <w:p>
      <w:pPr>
        <w:pStyle w:val="Title"/>
      </w:pPr>
      <w:r>
        <w:t>BILAGA 1 – Rödlistade arter</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som nyckelarter, eftersom en rad sällsynta efterföljande arter är beroende av deras gångsystem. Bland dessa kan nämnas åtgärdsprogramsarterna avlång barkborre (VU), </w:t>
      </w:r>
      <w:r>
        <w:rPr>
          <w:i/>
        </w:rPr>
        <w:t>Corticeus longulus</w:t>
      </w:r>
      <w:r>
        <w:t xml:space="preserve"> (VU), tallgångbagge (VU), cholodkovskys bastborre (NT) och tallbarksvartbagge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2026).</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2026.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