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945-2026 i Enköpings kommun</w:t>
      </w:r>
    </w:p>
    <w:p>
      <w:r>
        <w:t>Denna tillsynsbegäran behandlar höga naturvärden i samrådsanmälan S 945-2026 i Enköpings kommun som inkom 2026-03-31 och omfattar 4,2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S 945-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6599134, E 636333 i SWEREF 99 TM.</w:t>
      </w:r>
    </w:p>
    <w:p>
      <w:r>
        <w:t>I och inom 24 meter från samrådsanmälan finns fynd av 6 naturvårdsarter, varav 5 är rödlistade, 3 är fridlysta, 1 är typisk (T) och 1 är signalart (S): bombmurkla (EN, §8), grusnejlika (EN), läkeögontröst (EN, §8), fjällig taggsvamp s.str. (NT), stor vårtrattskivling (NT)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