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32416-2026 i Enköpings kommun</w:t>
      </w:r>
    </w:p>
    <w:p>
      <w:r>
        <w:t>Detta klagomål behandlar höga naturvärden i avverkningsanmälan A 32416-2026 i Enköpings kommun som inkom 2026-08-04 och omfattar 4,3 ha.</w:t>
      </w:r>
    </w:p>
    <w:p>
      <w:pPr>
        <w:pStyle w:val="Caption"/>
      </w:pPr>
      <w:r>
        <w:drawing>
          <wp:inline xmlns:a="http://schemas.openxmlformats.org/drawingml/2006/main" xmlns:pic="http://schemas.openxmlformats.org/drawingml/2006/picture">
            <wp:extent cx="4345126" cy="5724000"/>
            <wp:docPr id="1" name="Picture 1"/>
            <wp:cNvGraphicFramePr>
              <a:graphicFrameLocks noChangeAspect="1"/>
            </wp:cNvGraphicFramePr>
            <a:graphic>
              <a:graphicData uri="http://schemas.openxmlformats.org/drawingml/2006/picture">
                <pic:pic>
                  <pic:nvPicPr>
                    <pic:cNvPr id="0" name="A 32416-2026 karta.png"/>
                    <pic:cNvPicPr/>
                  </pic:nvPicPr>
                  <pic:blipFill>
                    <a:blip r:embed="rId16"/>
                    <a:stretch>
                      <a:fillRect/>
                    </a:stretch>
                  </pic:blipFill>
                  <pic:spPr>
                    <a:xfrm>
                      <a:off x="0" y="0"/>
                      <a:ext cx="4345126"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6599136, E 636323 i SWEREF 99 TM.</w:t>
      </w:r>
    </w:p>
    <w:p>
      <w:r>
        <w:t>I och inom 25 meter från avverkningsanmälan finns fynd av 7 naturvårdsarter, varav 6 är rödlistade, 3 är fridlysta, 2 är typiska (T) och 1 är signalart (S): bombmurkla (EN, §8), grusnejlika (EN), läkeögontröst (EN, §8), fjällig taggsvamp s.str. (NT), fyrflikig jordstjärna (NT, T), stor vårtrattskivling (NT) och grön sköldmossa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