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35713-2026 i Enköpings kommun</w:t>
      </w:r>
    </w:p>
    <w:p>
      <w:r>
        <w:t>Detta klagomål behandlar höga naturvärden i avverkningsanmälan A 35713-2026 i Enköpings kommun som inkom 2026-08-31 och omfattar 2,8 ha.</w:t>
      </w:r>
    </w:p>
    <w:p>
      <w:pPr>
        <w:pStyle w:val="Caption"/>
      </w:pPr>
      <w:r>
        <w:drawing>
          <wp:inline xmlns:a="http://schemas.openxmlformats.org/drawingml/2006/main" xmlns:pic="http://schemas.openxmlformats.org/drawingml/2006/picture">
            <wp:extent cx="5486400" cy="5286564"/>
            <wp:docPr id="1" name="Picture 1"/>
            <wp:cNvGraphicFramePr>
              <a:graphicFrameLocks noChangeAspect="1"/>
            </wp:cNvGraphicFramePr>
            <a:graphic>
              <a:graphicData uri="http://schemas.openxmlformats.org/drawingml/2006/picture">
                <pic:pic>
                  <pic:nvPicPr>
                    <pic:cNvPr id="0" name="A 35713-2026 karta.png"/>
                    <pic:cNvPicPr/>
                  </pic:nvPicPr>
                  <pic:blipFill>
                    <a:blip r:embed="rId16"/>
                    <a:stretch>
                      <a:fillRect/>
                    </a:stretch>
                  </pic:blipFill>
                  <pic:spPr>
                    <a:xfrm>
                      <a:off x="0" y="0"/>
                      <a:ext cx="5486400" cy="5286564"/>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6630915, E 626013 i SWEREF 99 TM.</w:t>
      </w:r>
    </w:p>
    <w:p>
      <w:r>
        <w:t>I och inom 19 meter från avverkningsanmälan finns fynd av 4 naturvårdsarter, varav 3 är rödlistade, 1 är fridlyst, 3 är typiska (T) och 1 är signalart (S): knärot (VU, T, §8), tallticka (NT, T), vintertagging (NT) och granbarkgnagare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0.19 ha med buffertzonerna och får av detta skäl inte avverkas.</w:t>
      </w:r>
    </w:p>
    <w:p>
      <w:pPr>
        <w:pStyle w:val="Caption"/>
      </w:pPr>
      <w:r>
        <w:drawing>
          <wp:inline xmlns:a="http://schemas.openxmlformats.org/drawingml/2006/main" xmlns:pic="http://schemas.openxmlformats.org/drawingml/2006/picture">
            <wp:extent cx="5486400" cy="6770748"/>
            <wp:docPr id="2" name="Picture 2"/>
            <wp:cNvGraphicFramePr>
              <a:graphicFrameLocks noChangeAspect="1"/>
            </wp:cNvGraphicFramePr>
            <a:graphic>
              <a:graphicData uri="http://schemas.openxmlformats.org/drawingml/2006/picture">
                <pic:pic>
                  <pic:nvPicPr>
                    <pic:cNvPr id="0" name="A 35713-2026 karta knärot.png"/>
                    <pic:cNvPicPr/>
                  </pic:nvPicPr>
                  <pic:blipFill>
                    <a:blip r:embed="rId17"/>
                    <a:stretch>
                      <a:fillRect/>
                    </a:stretch>
                  </pic:blipFill>
                  <pic:spPr>
                    <a:xfrm>
                      <a:off x="0" y="0"/>
                      <a:ext cx="5486400" cy="677074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6630915, E 626013 i SWEREF 99 TM.</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Vintertagging (NT) </w:t>
      </w:r>
      <w:r>
        <w:t>växer på döda eller döende tallar som i huvudsak är mer än 250 år gamla. Den är en bra signalart som visar på gamla tallar och tallskogar med höga naturvärden. Den har klassificerats som en ”gammelskogsart” och svampen tycks kräva flerhundraåriga tallar som substrat. Arten hotas av minskande tillgång på döende och döda, äldre träd (SLU Artdatabanken, 2024; Nitare &amp; Skogsstyrelsen, 2019).</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