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klagomål behandlar höga naturvärden i avverkningsanmälan A 60284-2022 i Enköpings kommun som inkom 2022-12-15 och omfattar 2,9 ha.</w:t>
      </w:r>
    </w:p>
    <w:p>
      <w:pPr>
        <w:pStyle w:val="Caption"/>
      </w:pPr>
      <w:r>
        <w:drawing>
          <wp:inline xmlns:a="http://schemas.openxmlformats.org/drawingml/2006/main" xmlns:pic="http://schemas.openxmlformats.org/drawingml/2006/picture">
            <wp:extent cx="4742462" cy="5724000"/>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474246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6594079, E 637306 i SWEREF 99 TM.</w:t>
      </w:r>
    </w:p>
    <w:p>
      <w:r>
        <w:t>I och inom 25 meter från avverkningsanmälan finns fynd av 18 naturvårdsarter, varav 6 är rödlistade, 8 är fridlysta, 2 är typiska (T) och 8 är signalarter (S): bombmurkla (EN, §8), duvspindling (VU), fjällig taggsvamp s.str. (NT), järnsparv (NT, §4), mindre hackspett (NT, T, §4), persiljespindling (NT), fransig jordstjärna (S), gulgrön kantmusseron (S), kamjordstjärna (S), nästrot (S, §8), olivspindling (S), rökmusseron (S), smal svampklubba (S), strimspindling (S), spillkråka (T, §4), åkergroda (§4a), vanlig groda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