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2711-2022 i Enköpings kommun</w:t>
      </w:r>
    </w:p>
    <w:p>
      <w:r>
        <w:t>Detta klagomål behandlar höga naturvärden i avverkningsanmälan A 2711-2022 i Enköpings kommun som inkom 2021-12-22 och omfattar 2,0 ha.</w:t>
      </w:r>
    </w:p>
    <w:p>
      <w:pPr>
        <w:pStyle w:val="Caption"/>
      </w:pPr>
      <w:r>
        <w:drawing>
          <wp:inline xmlns:a="http://schemas.openxmlformats.org/drawingml/2006/main" xmlns:pic="http://schemas.openxmlformats.org/drawingml/2006/picture">
            <wp:extent cx="5486400" cy="3065597"/>
            <wp:docPr id="1" name="Picture 1"/>
            <wp:cNvGraphicFramePr>
              <a:graphicFrameLocks noChangeAspect="1"/>
            </wp:cNvGraphicFramePr>
            <a:graphic>
              <a:graphicData uri="http://schemas.openxmlformats.org/drawingml/2006/picture">
                <pic:pic>
                  <pic:nvPicPr>
                    <pic:cNvPr id="0" name="A 2711-2022 karta.png"/>
                    <pic:cNvPicPr/>
                  </pic:nvPicPr>
                  <pic:blipFill>
                    <a:blip r:embed="rId16"/>
                    <a:stretch>
                      <a:fillRect/>
                    </a:stretch>
                  </pic:blipFill>
                  <pic:spPr>
                    <a:xfrm>
                      <a:off x="0" y="0"/>
                      <a:ext cx="5486400" cy="306559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6614351, E 616001 i SWEREF 99 TM.</w:t>
      </w:r>
    </w:p>
    <w:p>
      <w:r>
        <w:t>I och inom 9 meter från avverkningsanmälan finns fynd av 5 naturvårdsarter, varav 3 är rödlistade, 2 är typiska (T) och 2 är signalarter (S): grangråticka (VU, T), skarp dropptaggsvamp (NT), ullticka (NT, T), rödgul trumpetsvamp (S) och strimspindling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