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4995-2024 i Enköpings kommun</w:t>
      </w:r>
    </w:p>
    <w:p>
      <w:r>
        <w:t>Denna tillsynsbegäran behandlar höga naturvärden i samrådsanmälan S 4995-2024 i Enköpings kommun som inkom 2024-12-05 och omfattar 10,4 ha.</w:t>
      </w:r>
    </w:p>
    <w:p>
      <w:pPr>
        <w:pStyle w:val="Caption"/>
      </w:pPr>
      <w:r>
        <w:drawing>
          <wp:inline xmlns:a="http://schemas.openxmlformats.org/drawingml/2006/main" xmlns:pic="http://schemas.openxmlformats.org/drawingml/2006/picture">
            <wp:extent cx="5486400" cy="5060356"/>
            <wp:docPr id="1" name="Picture 1"/>
            <wp:cNvGraphicFramePr>
              <a:graphicFrameLocks noChangeAspect="1"/>
            </wp:cNvGraphicFramePr>
            <a:graphic>
              <a:graphicData uri="http://schemas.openxmlformats.org/drawingml/2006/picture">
                <pic:pic>
                  <pic:nvPicPr>
                    <pic:cNvPr id="0" name="S 4995-2024 karta.png"/>
                    <pic:cNvPicPr/>
                  </pic:nvPicPr>
                  <pic:blipFill>
                    <a:blip r:embed="rId16"/>
                    <a:stretch>
                      <a:fillRect/>
                    </a:stretch>
                  </pic:blipFill>
                  <pic:spPr>
                    <a:xfrm>
                      <a:off x="0" y="0"/>
                      <a:ext cx="5486400" cy="506035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6602347, E 617718 i SWEREF 99 TM.</w:t>
      </w:r>
    </w:p>
    <w:p>
      <w:r>
        <w:t>I samrådsanmälan finns fynd av 3 naturvårdsarter, varav 1 är rödlistad och 2 är signalarter (S): jättekamskivling (NT), gulmjölkig storskål (S) och spindelbock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 xml:space="preserve">Gulmjölkig storskål </w:t>
      </w:r>
      <w:r>
        <w:t>visar på rika ädellövskogar och lundar med höga naturvärden och speciella markförhållanden där den kalkhaltiga jorden är något fuktig och långvarigt beskuggad. Gulmjölkig storskål utgör en karaktärsart i exempelvis gamla slutna öländska hässlen och lundar där den ibland uppträder rikligt, nästan alltid tillsammans med andra ovanliga och rödlistade arter (Nitare &amp; Skogsstyrelsen, 2019).</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