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27073-2025 i Enköpings kommun</w:t>
      </w:r>
    </w:p>
    <w:p>
      <w:r>
        <w:t>Detta dokument behandlar höga naturvärden i avverkningsanmälan A 27073-2025 i Enköpings kommun. Denna avverkningsanmälan inkom 2025-06-03 15:24:21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bågpraktmossa (S) och kärrkammossa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7276"/>
            <wp:docPr id="1" name="Picture 1"/>
            <wp:cNvGraphicFramePr>
              <a:graphicFrameLocks noChangeAspect="1"/>
            </wp:cNvGraphicFramePr>
            <a:graphic>
              <a:graphicData uri="http://schemas.openxmlformats.org/drawingml/2006/picture">
                <pic:pic>
                  <pic:nvPicPr>
                    <pic:cNvPr id="0" name="A 27073-2025 karta.png"/>
                    <pic:cNvPicPr/>
                  </pic:nvPicPr>
                  <pic:blipFill>
                    <a:blip r:embed="rId16"/>
                    <a:stretch>
                      <a:fillRect/>
                    </a:stretch>
                  </pic:blipFill>
                  <pic:spPr>
                    <a:xfrm>
                      <a:off x="0" y="0"/>
                      <a:ext cx="5486400" cy="2527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6629145, E 613342 i SWEREF 99 TM.</w:t>
      </w:r>
    </w:p>
    <w:p>
      <w:r>
        <w:rPr>
          <w:b/>
        </w:rPr>
        <w:t xml:space="preserve">Bågpraktmossa </w:t>
      </w:r>
      <w:r>
        <w:t>växer i skuggiga och våta skogsmiljöer, bland annat i bäckdalar, alsumpskogar, strandskogar och örtrika gransumpskogar. Den är i hela sitt utbredningsområde en bra signalart för gransumpskogar som ofta hyser andra, mer ovanliga och rödlistade arter. Bågpraktmossa indikerar skogsmark som har ostörd hydrologi och kalkfattig mark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