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13255-2024 i Enköpings kommun</w:t>
      </w:r>
    </w:p>
    <w:p>
      <w:r>
        <w:t>Detta dokument behandlar höga naturvärden i avverkningsanmälan A 13255-2024 i Enköpings kommun. Denna avverkningsanmälan inkom 2024-04-04 och omfattar 3,8 ha.</w:t>
      </w:r>
    </w:p>
    <w:p>
      <w:r>
        <w:t>Nedan presenteras fynd av naturvårdsarter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stor aspticka (S). Arter som är signalarter enligt Skogsstyrelsen har markerats med (S).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112654"/>
            <wp:docPr id="1" name="Picture 1"/>
            <wp:cNvGraphicFramePr>
              <a:graphicFrameLocks noChangeAspect="1"/>
            </wp:cNvGraphicFramePr>
            <a:graphic>
              <a:graphicData uri="http://schemas.openxmlformats.org/drawingml/2006/picture">
                <pic:pic>
                  <pic:nvPicPr>
                    <pic:cNvPr id="0" name="A 13255-2024 karta.png"/>
                    <pic:cNvPicPr/>
                  </pic:nvPicPr>
                  <pic:blipFill>
                    <a:blip r:embed="rId16"/>
                    <a:stretch>
                      <a:fillRect/>
                    </a:stretch>
                  </pic:blipFill>
                  <pic:spPr>
                    <a:xfrm>
                      <a:off x="0" y="0"/>
                      <a:ext cx="5486400" cy="5112654"/>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6629722, E 613582 i SWEREF 99 TM.</w:t>
      </w:r>
    </w:p>
    <w:p>
      <w:r>
        <w:rPr>
          <w:b/>
        </w:rPr>
        <w:t>Stor aspticka</w:t>
      </w:r>
      <w:r>
        <w:t xml:space="preserve"> är knuten till gamla levande aspar och orsakar karaktäristiska inbuktningar i stammen (så kallad nekroser). Slutavverknings- och gallringsåtgärder i löv- och blandskogsbestånd som innebär att tillgången på grov asp minskar är ett hot mot arten. Det är viktigt att äldre aspar och aspbestånd sparas och för att gynna arten på sikt bör aspinslagen i t.ex. bergbranter, raviner, skogsbryn och kring äldre odlingsmarker generellt sparas i större utsträckning än vad som görs idag (SLU Artdatabanken, 2024; Nitare &amp; Skogsstyrelsen, 2019).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2025-04-12</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