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violgubbe (VU), tallticka (NT), vedtrappmossa (NT), bronshjon (S), grönpyrola (S), thomsons trägnagare (S), större vattensalamander (§4a), åkergroda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större vattensalamander (§4a), åkergroda (§4a), mindre vattensalamander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6616057, E 622157 i SWEREF 99 TM.</w:t>
      </w:r>
    </w:p>
    <w:p>
      <w:pPr>
        <w:pStyle w:val="Caption"/>
      </w:pP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Vägledning för hänsyn till större vattensalamander. Vägledningar och kunskapsstöd artskydd - Skogsstyrelsen</w:t>
      </w:r>
    </w:p>
    <w:p>
      <w:r>
        <w:t>SLU Artdatabanken, 2024.</w:t>
      </w:r>
      <w:r>
        <w:rPr>
          <w:i/>
        </w:rPr>
        <w:t xml:space="preserve">  Artfakta: större vattensalamander (Triturus cristatus). 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