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20 meter från avverkningsanmälan finns fynd av 27 naturvårdsarter, varav 13 är rödlistade, 9 är fridlysta, 16 är typiska (T) och 8 är signalarter (S): knärot (VU, T, §8), dofttaggsvamp (NT, T), flattoppad klubbsvamp (NT), gropticka (NT, T), grönhjon (NT), kattfotslav (NT, T), rosenticka (NT, T), rynkskinn (NT, T), skarp dropptaggsvamp (NT), talltita (NT, §4),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