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31207-2022 i Östhammars kommun</w:t>
      </w:r>
    </w:p>
    <w:p>
      <w:r>
        <w:t>Denna tillsynsbegäran behandlar höga naturvärden i avverkningsanmälan A 31207-2022 i Östhammars kommun som inkom 2022-07-29 och omfattar 7,0 ha.</w:t>
      </w:r>
    </w:p>
    <w:p>
      <w:pPr>
        <w:pStyle w:val="Caption"/>
      </w:pPr>
      <w:r>
        <w:drawing>
          <wp:inline xmlns:a="http://schemas.openxmlformats.org/drawingml/2006/main" xmlns:pic="http://schemas.openxmlformats.org/drawingml/2006/picture">
            <wp:extent cx="5486400" cy="4623639"/>
            <wp:docPr id="1" name="Picture 1"/>
            <wp:cNvGraphicFramePr>
              <a:graphicFrameLocks noChangeAspect="1"/>
            </wp:cNvGraphicFramePr>
            <a:graphic>
              <a:graphicData uri="http://schemas.openxmlformats.org/drawingml/2006/picture">
                <pic:pic>
                  <pic:nvPicPr>
                    <pic:cNvPr id="0" name="A 31207-2022 karta.png"/>
                    <pic:cNvPicPr/>
                  </pic:nvPicPr>
                  <pic:blipFill>
                    <a:blip r:embed="rId16"/>
                    <a:stretch>
                      <a:fillRect/>
                    </a:stretch>
                  </pic:blipFill>
                  <pic:spPr>
                    <a:xfrm>
                      <a:off x="0" y="0"/>
                      <a:ext cx="5486400" cy="4623639"/>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6689357, E 680373 i SWEREF 99 TM.</w:t>
      </w:r>
    </w:p>
    <w:p>
      <w:r>
        <w:t>I och inom 21 meter från avverkningsanmälan finns fynd av 10 naturvårdsarter, varav 4 är rödlistade, 2 är fridlysta, 3 är typiska (T) och 6 är signalarter (S): violgubbe (EN), skarp dropptaggsvamp (NT), sårläka (NT, T), äggspindling (NT), anisspindling (S), brun klibbskivling (S), grönkulla (S, T, §8), kalktallört (S), spindelblomster (S, T, §8) och svavelriska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Violgubbe (EN)</w:t>
      </w:r>
      <w:r>
        <w:t xml:space="preserve"> är en starkt hotad art som bildar mykorrhiza med gran och bok och ev. andra trädslag i äldre ängsgran- och ängsbokskog med lång kontinuitet, främst på kalkrik mark. Arten är placerad högst upp i Skogsstyrelsens värdepyramid för bedömning av skog med höga naturvärden och indikerar alltid skogsområden med höga naturvärden. Det största hotet mot arten är skogsavverkning och den omfattas av ett åtgärdsprogram för hotade arter (ÅGP). Violgubben överlever inte en slutavverkning och verkar dessutom ha svårt att etablera sig i yngre skogsbestånd (SLU Artdatabanken, 2026; Nitare &amp; Skogsstyrelsen, 2019; Aronsson, 2006).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Äggspindling (NT) </w:t>
      </w:r>
      <w:r>
        <w:t>bildar mykorrhiza med gran i äldre ängsgranskog på kalkrik mark och kräver sannolikt lång kontinuitet av äldre träd. Arten bedöms ha minskat med mer än 15 % över de senaste 50 åren, p.g.a. slutavverkning av äldre skog och minskningstakten för den svenska populationen bedöms vara nära gränsvärdet för Sårbar (VU). (A2c+3c+4c). På artens växtplatser måste skogsbruk ske med stor försiktighet eftersom de ofta innehåller ett stort antal sällsynta och hotade arter. Lokaler med rika förekomster bör betraktas som nyckelbiotoper och helt undantas från avverkning. Äggspindling är globalt rödlistad som nära hotad (NT) vilket innebär att Sverige har ett internationellt ansvar för arten (SLU Artdatabanken, 2024; Nitare &amp; Skogsstyrelsen, 2019; IUCN, 2019).</w:t>
      </w:r>
    </w:p>
    <w:p>
      <w:r>
        <w:rPr>
          <w:b/>
        </w:rPr>
        <w:t xml:space="preserve">Grönkulla (§8) </w:t>
      </w:r>
      <w:r>
        <w:t xml:space="preserve">är typisk art för </w:t>
      </w:r>
      <w:r>
        <w:rPr>
          <w:i/>
        </w:rPr>
        <w:t xml:space="preserve">9040 Fjällbjörkskog, 9070 Trädklädd betesmark, 6170 Alpina kalkgräsmarker, 6520 Höglänta slåtterängar </w:t>
      </w:r>
      <w:r>
        <w:t>och</w:t>
      </w:r>
      <w:r>
        <w:rPr>
          <w:i/>
        </w:rPr>
        <w:t xml:space="preserve"> 6210 Kalkgräsmarker </w:t>
      </w:r>
      <w:r>
        <w:t>(SLU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