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21006-2024 i Östhammars kommun</w:t>
      </w:r>
    </w:p>
    <w:p>
      <w:r>
        <w:t>Denna tillsynsbegäran behandlar höga naturvärden i avverkningsanmälan A 21006-2024 i Östhammars kommun som inkom 2024-05-27 och omfattar 3,8 ha.</w:t>
      </w:r>
    </w:p>
    <w:p>
      <w:pPr>
        <w:pStyle w:val="Caption"/>
      </w:pPr>
      <w:r>
        <w:drawing>
          <wp:inline xmlns:a="http://schemas.openxmlformats.org/drawingml/2006/main" xmlns:pic="http://schemas.openxmlformats.org/drawingml/2006/picture">
            <wp:extent cx="5486400" cy="4596510"/>
            <wp:docPr id="1" name="Picture 1"/>
            <wp:cNvGraphicFramePr>
              <a:graphicFrameLocks noChangeAspect="1"/>
            </wp:cNvGraphicFramePr>
            <a:graphic>
              <a:graphicData uri="http://schemas.openxmlformats.org/drawingml/2006/picture">
                <pic:pic>
                  <pic:nvPicPr>
                    <pic:cNvPr id="0" name="A 21006-2024 karta.png"/>
                    <pic:cNvPicPr/>
                  </pic:nvPicPr>
                  <pic:blipFill>
                    <a:blip r:embed="rId16"/>
                    <a:stretch>
                      <a:fillRect/>
                    </a:stretch>
                  </pic:blipFill>
                  <pic:spPr>
                    <a:xfrm>
                      <a:off x="0" y="0"/>
                      <a:ext cx="5486400" cy="4596510"/>
                    </a:xfrm>
                    <a:prstGeom prst="rect"/>
                  </pic:spPr>
                </pic:pic>
              </a:graphicData>
            </a:graphic>
          </wp:inline>
        </w:drawing>
      </w:r>
    </w:p>
    <w:p>
      <w:pPr>
        <w:pStyle w:val="Caption"/>
        <w:spacing w:after="240"/>
      </w:pPr>
      <w:r>
        <w:t>Figur 1. Fyndplatser för naturvårdsarter i och inom 25 meter från avverkningsanmälan. Markörer utan svart kant är placerade på fyndplatsen. Markörer med svart kant är placerade vid sidan av fyndplatsen och har ett svart streck som visar fyndplatsens exakta position. Kartans mittpunktskoordinat är N 6665162, E 683695 i SWEREF 99 TM.</w:t>
      </w:r>
    </w:p>
    <w:p>
      <w:r>
        <w:t>I och inom 25 meter från avverkningsanmälan finns fynd av 25 naturvårdsarter, varav 11 är rödlistade, 2 är fridlysta, 21 är typiska (T) och 13 är signalarter (S): aspfjädermossa (VU, T), brun lundlav (VU), ekpricklav (VU), gulvit blekspik (VU, T), mörk kraterlav (VU), skogskorn (VU, T), lunglav (NT, T), rutskinn (NT, T), rödbrun blekspik (NT, T), skogssvingel (NT, T), vårärt (NT, T), bårdlav (S, T), fällmossa (S, T), grön sköldmossa (S, T, §8), guldlockmossa (S, T), myskmadra (S, T), platt fjädermossa (S, T), skogshakmossa (S, T), slät lönnlav (S), stenporella (S, T), strutbräken (S, T), svart trolldruva (S, T), trubbfjädermossa (S, T), underviol (S, T) och blåsippa (T, §9).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begär vidare att Skogsstyrelsen säkerställer att inga skador eller försämringar av naturtypens bevarandestatus i området tillåts ske. Se Rådets direktiv 92/43/EEG samt ickeförsämringskravet i EU:s naturrestaureringsförordning (EU 2024/1991).</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Aspfjädermossa (VU)</w:t>
      </w:r>
      <w:r>
        <w:t xml:space="preserve"> är knuten till gamla skogar, framförallt på näringsrik, högproduktiv mark där den växer på bark av främst ask, lönn och asp. Arten är placerad högst upp i Skogsstyrelsens värdepyramid för bedömning av skog med höga naturvärden. Samtliga lokaler måste ges ett ändamålsenligt skydd och ett urval förekomster bör övervakas för att följa populationens status. Aspfjädermossa är typisk art för </w:t>
      </w:r>
      <w:r>
        <w:rPr>
          <w:i/>
        </w:rPr>
        <w:t>9010 Taiga</w:t>
      </w:r>
      <w:r>
        <w:t xml:space="preserve"> (SLU Artdatabanken, 2024; Nitare &amp; Skogsstyrelsen, 2019).</w:t>
      </w:r>
    </w:p>
    <w:p>
      <w:r>
        <w:rPr>
          <w:b/>
        </w:rPr>
        <w:t>Brun lundlav (VU)</w:t>
      </w:r>
      <w:r>
        <w:t xml:space="preserve"> växer på slätbarkiga ädellövträd och på asp i blandad ädellövskog eller blandskog. Lokalerna har ofta lång trädkontinuitet och luftfuktigheten är hög. Arten hotas av skogsbruk samt av igenväxning p.g.a. minskad hävd. Även almsjukan och askskottssjukan utgör ett hot. Skydda åtminstone de rikligaste lokalerna. Öka hävden på igenvuxen mark och undvik produktionsinriktat skogsbruk på och i närheten av lokaler med arten (SLU Artdatabanken, 2026).</w:t>
      </w:r>
    </w:p>
    <w:p>
      <w:r>
        <w:rPr>
          <w:b/>
        </w:rPr>
        <w:t>Ekpricklav (VU)</w:t>
      </w:r>
      <w:r>
        <w:t xml:space="preserve"> växer främst på mycket gamla ekar med grov sprickbark i skogsmiljöer med hög och jämn luftfuktighet. Arten förekommer inte i öppna ekhagar. Denna typ av ekar är sällsynta och nyskapas i mycket begränsad omfattning. Lämpliga biotoper måste bevaras och ett tillräckligt antal unga träd måste tillåtas bli mycket gamla för att på lång sikt ersätta de nuvarande gammelträden. På ekpricklav kan den mycket sällsynta svartspiken </w:t>
      </w:r>
      <w:r>
        <w:rPr>
          <w:i/>
        </w:rPr>
        <w:t>Chaenothecopsis retinens</w:t>
      </w:r>
      <w:r>
        <w:t xml:space="preserve"> (DD) påträffas (SLU Artdatabanken, 2026).</w:t>
      </w:r>
    </w:p>
    <w:p>
      <w:r>
        <w:rPr>
          <w:b/>
        </w:rPr>
        <w:t>Gulvit blekspik (VU)</w:t>
      </w:r>
      <w:r>
        <w:t xml:space="preserve"> växer främst på öppet stående, grova ädellövträd av framförallt ask och alm samt ibland även på lönn. Arten förekommer ofta i hagmarker, lövängar, parker och i alléer. Aktuella förekomster bör skyddas, speciellt förekomster som inte växer på alm och ask. Eftersom alm- och askskottsjukan är det allvarligaste hotet är åtgärder för att motverka dessa sjukdomar mycket viktigt. Alla blekspikar av släktet </w:t>
      </w:r>
      <w:r>
        <w:rPr>
          <w:i/>
        </w:rPr>
        <w:t>Sclerophora</w:t>
      </w:r>
      <w:r>
        <w:t xml:space="preserve"> ​​​​är utmärkta signalarter för gamla träd och skogsområden med höga naturvärden. Gulvit blekspik är typisk art för </w:t>
      </w:r>
      <w:r>
        <w:rPr>
          <w:i/>
        </w:rPr>
        <w:t>9020 Nordlig ädellövskog, 9070 Trädklädd betesmark, 9180 Ädellövskog i branter</w:t>
      </w:r>
      <w:r>
        <w:t xml:space="preserve"> och </w:t>
      </w:r>
      <w:r>
        <w:rPr>
          <w:i/>
        </w:rPr>
        <w:t>6530 Lövängar</w:t>
      </w:r>
      <w:r>
        <w:t xml:space="preserve"> (SLU Artdatabanken, 2024; Nitare &amp; Skogsstyrelsen, 2019).</w:t>
      </w:r>
    </w:p>
    <w:p>
      <w:r>
        <w:rPr>
          <w:b/>
        </w:rPr>
        <w:t>Mörk kraterlav (VU)</w:t>
      </w:r>
      <w:r>
        <w:t xml:space="preserve"> växer på grov bark av ädellövträd som bok, alm, ask, lönn och ek. Miljöerna varierar från slutna bokskogar och andra ädellövskogar till öppna lövängar, alléer och parkmiljöer. Arten påträffas ofta vid basen av träden, men den förekommer inte sällan även en bit upp på stammen. Miljöerna har lång kontinuitet på gamla träd och tillsammans med mörk kraterlav förekommer ofta andra rödlistade lavar (SLU Artdatabanken, 2024).</w:t>
      </w:r>
    </w:p>
    <w:p>
      <w:r>
        <w:rPr>
          <w:b/>
        </w:rPr>
        <w:t xml:space="preserve">Skogskorn (VU) </w:t>
      </w:r>
      <w:r>
        <w:t xml:space="preserve">är ett mycket sällsynt och värmeälskande lundgräs som växer på kalkhaltig mark i halvöppna ödellövskogar och extremrika kalkbarrskogar. Arten är placerad högst upp i Skogsstyrelsens värdepyramid för bedömning av skog med höga naturvärden. Dess växtplatser bör ej betas eller slutavverkas. Skogskorn är typisk art för </w:t>
      </w:r>
      <w:r>
        <w:rPr>
          <w:i/>
        </w:rPr>
        <w:t>9020 Nordlig ädellövskog</w:t>
      </w:r>
      <w:r>
        <w:t xml:space="preserve"> (SLU Artdatabanken, 2024; Nitare &amp; Skogsstyrelsen, 2019).</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Rutskinn (NT)</w:t>
      </w:r>
      <w:r>
        <w:t xml:space="preserve"> är en relativt sällsynt art som växer främst på gammal grov ek och nedfallna grenar av ek, framför allt i ekhagar, men ibland även i mera sluten ädellöv- och blandskog. För att gynna arten måste hagmarker och ädellövskog med grova ekar skyddas och skötas så att en olikåldrig struktur gynnas och de gamla träden får ersättare när de dör. Rutskinn är typisk art för </w:t>
      </w:r>
      <w:r>
        <w:rPr>
          <w:i/>
        </w:rPr>
        <w:t xml:space="preserve">9020 Nordlig ädellövskog, 9160 Näringsrik ekskog </w:t>
      </w:r>
      <w:r>
        <w:t>och</w:t>
      </w:r>
      <w:r>
        <w:rPr>
          <w:i/>
        </w:rPr>
        <w:t xml:space="preserve"> 9190 Näringsfattig ekskog</w:t>
      </w:r>
      <w:r>
        <w:t xml:space="preserve"> (SLU Artdatabanken, 2024; Nitare &amp; Skogsstyrelsen, 2019).</w:t>
      </w:r>
    </w:p>
    <w:p>
      <w:r>
        <w:rPr>
          <w:b/>
        </w:rPr>
        <w:t>Rödbrun blekspik (NT)</w:t>
      </w:r>
      <w:r>
        <w:t xml:space="preserve"> växer i norra Sverige på bark och ved av björk och gran i skogar med hög och jämn luftfuktighet. I södra Sverige växer den främst på ek i öppna åldriga lövskogar. I norra delen av sitt utbredningsområde hotas arten av slutavverkningar av gamla granskogar. I den södra delen av landet hotas den genom de åldriga lövskogarnas tillbakagång och särskilt ekhagarnas igenväxning och genom plantering av sådan mark med barrskog. Rödbrun blekspik är typisk art för </w:t>
      </w:r>
      <w:r>
        <w:rPr>
          <w:i/>
        </w:rPr>
        <w:t xml:space="preserve">9010 Taiga, 9020 Nordlig ädellövskog, 9070 Trädklädd betesmark, 9160 Näringsrik ekskog </w:t>
      </w:r>
      <w:r>
        <w:t xml:space="preserve">och </w:t>
      </w:r>
      <w:r>
        <w:rPr>
          <w:i/>
        </w:rPr>
        <w:t>9180 Ädellövskog i branter</w:t>
      </w:r>
      <w:r>
        <w:t xml:space="preserve"> och signalerar alltid höga naturvärden (SLU Artdatabanken, 2024; Nitare &amp; Skogsstyrelsen, 2019).</w:t>
      </w:r>
    </w:p>
    <w:p>
      <w:r>
        <w:rPr>
          <w:b/>
        </w:rPr>
        <w:t xml:space="preserve">Skogssvingel (NT) </w:t>
      </w:r>
      <w:r>
        <w:t xml:space="preserve">är ett sällsynt och exklusivt lundgräs som växer i bokskog, granskog och ädellövskog. Den hittas framför allt i gamla naturskogar med långvarig kontinuitet och hög luftfuktighet. Samtliga förekomster har idag reliktkaraktär och är troligen mycket gamla och arten är placerad högst upp i Skogsstyrelsens värdepyramid för bedömning av skog med höga naturvärden. Arten är mycket känslig för skogsbruk och samtliga lokaler bör skyddas. Skogssvingel är typisk art för </w:t>
      </w:r>
      <w:r>
        <w:rPr>
          <w:i/>
        </w:rPr>
        <w:t xml:space="preserve">9020 Nordlig ädellövskog </w:t>
      </w:r>
      <w:r>
        <w:t xml:space="preserve">och </w:t>
      </w:r>
      <w:r>
        <w:rPr>
          <w:i/>
        </w:rPr>
        <w:t>9180 Ädellövskog i branter</w:t>
      </w:r>
      <w:r>
        <w:rPr>
          <w:b/>
        </w:rPr>
        <w:t xml:space="preserve"> </w:t>
      </w:r>
      <w:r>
        <w:t>(SLU Artdatabanken, 2024; Nitare &amp; Skogsstyrelsen, 2019).</w:t>
      </w:r>
    </w:p>
    <w:p>
      <w:r>
        <w:rPr>
          <w:b/>
        </w:rPr>
        <w:t>Vårärt (NT)</w:t>
      </w:r>
      <w:r>
        <w:t xml:space="preserve"> är en kalkgynnad mullväxt som är knuten till rik lundartad vegetation och har sin huvudsakliga förekomst i sydliga kalklövskogar, lövängen och hässlen. Den har även viktiga förekomster av reliktkaraktär i örtrika kalkgranskogar på frisk eller något fuktig mark i mellersta Sverige. Vårärt är en extra betydelsefull signalart i boreala och boreonemorala kalkgranskogar, då dessa förekomster nu är starkt fragmenterade och troligen visar på en flertusenårig ekologisk kontinuitet där spridning och etablering kan ha skett under postglaciala värmetiden. Arten tål inte dagens storskaliga skogsbruksmetoder och den kommer in på rödlistan för första gången 2025 till följd av en kraftig minskning (&gt;50%) i Riksskogstaxeringens data. Vårärt är typisk art för </w:t>
      </w:r>
      <w:r>
        <w:rPr>
          <w:i/>
        </w:rPr>
        <w:t xml:space="preserve">9050 Näringsrik granskog, 9020 Nordlig ädellövskog, 9160 Näringsrik ekskog </w:t>
      </w:r>
      <w:r>
        <w:t xml:space="preserve">och </w:t>
      </w:r>
      <w:r>
        <w:rPr>
          <w:i/>
        </w:rPr>
        <w:t>9180 Ädellövskog i branter</w:t>
      </w:r>
      <w:r>
        <w:t xml:space="preserve"> (Nitare &amp; Skogsstyrelsen, 2019; SLU Artdatabanken, 2026).</w:t>
      </w:r>
    </w:p>
    <w:p>
      <w:r>
        <w:rPr>
          <w:b/>
        </w:rPr>
        <w:t>Bårdlav</w:t>
      </w:r>
      <w:r>
        <w:t xml:space="preserve"> signalerar miljöer med höga naturvärden och på lokalerna finns vanligtvis många andra ovanliga och rödlistade arter. Den visar även på platser med hög och jämn luftfuktighet. På bårdlav och andra njurlavar (Nephroma) kan de sällsynta parasiterna </w:t>
      </w:r>
      <w:r>
        <w:rPr>
          <w:i/>
        </w:rPr>
        <w:t xml:space="preserve">Protounguicularia nephromatis </w:t>
      </w:r>
      <w:r>
        <w:t xml:space="preserve">(VU) och </w:t>
      </w:r>
      <w:r>
        <w:rPr>
          <w:i/>
        </w:rPr>
        <w:t xml:space="preserve">Tremella nephromatis </w:t>
      </w:r>
      <w:r>
        <w:t xml:space="preserve">(DD) påträffas. Bårdlav är typisk art för </w:t>
      </w:r>
      <w:r>
        <w:rPr>
          <w:i/>
        </w:rPr>
        <w:t xml:space="preserve">9010 Taiga, 9020 Nordlig ädellövskog, 9070 Trädklädd betesmark, 9110 Näringsfattig bokskog, 9160 Näringsrik ekskog, 9180 Ädellövskog i branter </w:t>
      </w:r>
      <w:r>
        <w:t>och</w:t>
      </w:r>
      <w:r>
        <w:rPr>
          <w:i/>
        </w:rPr>
        <w:t xml:space="preserve"> 9190 Näringsfattig ekskog</w:t>
      </w:r>
      <w:r>
        <w:t xml:space="preserve"> (SLU Artdatabanken, 2026; Nitare &amp; Skogsstyrelsen, 2019).</w:t>
      </w:r>
    </w:p>
    <w:p>
      <w:r>
        <w:rPr>
          <w:b/>
        </w:rPr>
        <w:t>Fällmossa</w:t>
      </w:r>
      <w:r>
        <w:t xml:space="preserve"> indikerar i stort sett alltid områden med höga naturvärden, skog med lång kontinuitet, gamla träd, hög luftfuktighet och stabila förhållanden. Sporkapslar finnar man enbart på extra skyddsvärda lokaler. Fällmossa är typisk art för </w:t>
      </w:r>
      <w:r>
        <w:rPr>
          <w:i/>
        </w:rPr>
        <w:t xml:space="preserve">9020 Nordlig ädellövskog, 9110 Näringsfattig bokskog, 9130 Näringsrik bokskog, 9160 Näringsrik ekskog, 9180 Ädellövskog i branter </w:t>
      </w:r>
      <w:r>
        <w:t>och</w:t>
      </w:r>
      <w:r>
        <w:rPr>
          <w:i/>
        </w:rPr>
        <w:t xml:space="preserve"> 9190 Näringsfattig ekskog</w:t>
      </w:r>
      <w:r>
        <w:t xml:space="preserve"> (SLU Artdatabanken, 2024; Nitare &amp; Skogsstyrelsen, 2019).</w:t>
      </w:r>
    </w:p>
    <w:p>
      <w:r>
        <w:rPr>
          <w:b/>
        </w:rPr>
        <w:t>Grön sköldmossa (§8)</w:t>
      </w:r>
      <w:r>
        <w:t xml:space="preserve"> är typisk art för </w:t>
      </w:r>
      <w:r>
        <w:rPr>
          <w:i/>
        </w:rPr>
        <w:t xml:space="preserve">9010 Taiga </w:t>
      </w:r>
      <w:r>
        <w:t>och</w:t>
      </w:r>
      <w:r>
        <w:rPr>
          <w:i/>
        </w:rPr>
        <w:t xml:space="preserve"> 9750 Svämlövskog</w:t>
      </w:r>
      <w:r>
        <w:t xml:space="preserve"> och omfattas av EU:s art- och habitatdirektiv bilaga 2 vilket innebär att det finns ett uttalat intresse inom Europeiska unionen att bevara arten. Grön sköldmossa kräver skog som har ett speciellt mikroklimat med hög och jämn luftfuktighet i kombination med rik tillgång på död ved (Nitare &amp; Skogsstyrelsen, 2019; SLU Artdatabanken, 2025). I praktiken handlar det om åtminstone 50 meter med skyddande skog för att undvika uttorkning av marken (Hallingbäck, personligt meddelande 2022-02-24). Grön sköldmossa är en ansvarsart för Sverige då en särskilt stor andel av Europas population finns i landet. Mark- och miljööverdomstolen (MÖD) har i mål nr M 2019-20 (18 februari 2019) slagit fast att grön sköldmossa (§8) är dispenspliktig och att exemplar av arten inte får skadas utan dispens (MÖD, mål nr M 2019-20).</w:t>
      </w:r>
    </w:p>
    <w:p>
      <w:r>
        <w:rPr>
          <w:b/>
        </w:rPr>
        <w:t>Guldlockmossa</w:t>
      </w:r>
      <w:r>
        <w:t xml:space="preserve"> växer på solexponerade, basiska klippor och block samt på skrovlig bark vid basen av ädellövträd med rik bark, ofta på gamla ekar, bokar och andra ädellövträd som står öppet i bryn. Särskilt högt signalvärde har den i norra Sverige där den sällsynt kan påträffas i sydväxtberg på klippor med basiska bergarter. Guldlockmossa är typisk art för </w:t>
      </w:r>
      <w:r>
        <w:rPr>
          <w:i/>
        </w:rPr>
        <w:t xml:space="preserve">9110 Näringsfattig bokskog, 9160 Näringsrik ekskog, 9180 Ädellövskog i branter </w:t>
      </w:r>
      <w:r>
        <w:t xml:space="preserve">och </w:t>
      </w:r>
      <w:r>
        <w:rPr>
          <w:i/>
        </w:rPr>
        <w:t xml:space="preserve">9190 Näringsfattig ekskog </w:t>
      </w:r>
      <w:r>
        <w:t>(Nitare &amp; Skogsstyrelsen, 2019; SLU Artdatabanken, 2025).</w:t>
      </w:r>
    </w:p>
    <w:p>
      <w:r>
        <w:rPr>
          <w:b/>
        </w:rPr>
        <w:t xml:space="preserve">Myskmadra </w:t>
      </w:r>
      <w:r>
        <w:t xml:space="preserve">är en bra signalart i hela sitt utbredningsområde i såväl lövskogar, lundar som kalkbarrskogar. Särskilt kräsen tycks den vara i norra delen av sitt utbredningsområde. Många naturliga växtplatser är av reliktkaraktär och växten indikerar här långvarig ekologisk kontinuitet. Arten är känslig för såväl hårt bete som dagens storskaliga skogsbruksmetoder. Myskmadra är typisk art för </w:t>
      </w:r>
      <w:r>
        <w:rPr>
          <w:i/>
        </w:rPr>
        <w:t xml:space="preserve">9050 Näringsrik granskog, 9020 Nordlig ädellövskog, 9130 Näringsrik bokskog </w:t>
      </w:r>
      <w:r>
        <w:t xml:space="preserve">och </w:t>
      </w:r>
      <w:r>
        <w:rPr>
          <w:i/>
        </w:rPr>
        <w:t xml:space="preserve">9160 Näringsrik ekskog </w:t>
      </w:r>
      <w:r>
        <w:t>(Nitare &amp; Skogsstyrelsen, 2019; SLU Artdatabanken, 2025).</w:t>
      </w:r>
    </w:p>
    <w:p>
      <w:r>
        <w:rPr>
          <w:b/>
        </w:rPr>
        <w:t xml:space="preserve">Platt fjädermossa </w:t>
      </w:r>
      <w:r>
        <w:t>växer på såväl trädstammar (särskilt bok och andra ädla lövträd) som klippor (helst basiska bergarter). Norrut förekommer den endast på basiska klippor. Rika förekomster och fynd med sporkapslar indikerar höga naturvärden och en artrik mossbiotop.</w:t>
      </w:r>
      <w:r>
        <w:rPr>
          <w:b/>
        </w:rPr>
        <w:t xml:space="preserve"> </w:t>
      </w:r>
      <w:r>
        <w:t xml:space="preserve">Platt fjädermossa är typisk art för </w:t>
      </w:r>
      <w:r>
        <w:rPr>
          <w:i/>
        </w:rPr>
        <w:t>9010 Taiga,</w:t>
      </w:r>
      <w:r>
        <w:t xml:space="preserve"> </w:t>
      </w:r>
      <w:r>
        <w:rPr>
          <w:i/>
        </w:rPr>
        <w:t>9020 Nordlig ädellövskog, 9110 Näringsfattig bokskog, 9130 Näringsrik bokskog, 9160 Näringsrik ekskog, 9180 Ädellövskog i branter</w:t>
      </w:r>
      <w:r>
        <w:t xml:space="preserve"> och</w:t>
      </w:r>
      <w:r>
        <w:rPr>
          <w:i/>
        </w:rPr>
        <w:t xml:space="preserve"> 9190 Näringsfattig ekskog </w:t>
      </w:r>
      <w:r>
        <w:t>(Nitare &amp; Skogsstyrelsen, 2019; SLU Artdatabanken, 2025).</w:t>
      </w:r>
    </w:p>
    <w:p>
      <w:r>
        <w:rPr>
          <w:b/>
        </w:rPr>
        <w:t>Skogshakmossa</w:t>
      </w:r>
      <w:r>
        <w:t xml:space="preserve"> indikerar lokaler som ofta har en artrik mossflora som kräver jämn och hög markfuktighet, till exempel olika sumpskogar med höga naturvärden. Högst signalvärde har arten i södra och mellersta Sverige. Skogshakmossa är typisk art för </w:t>
      </w:r>
      <w:r>
        <w:rPr>
          <w:i/>
        </w:rPr>
        <w:t xml:space="preserve">9010 Taiga, 9050 Näringsrik granskog, 9080 Lövsumpskog </w:t>
      </w:r>
      <w:r>
        <w:t xml:space="preserve">och </w:t>
      </w:r>
      <w:r>
        <w:rPr>
          <w:i/>
        </w:rPr>
        <w:t xml:space="preserve">9750 Svämlövskog </w:t>
      </w:r>
      <w:r>
        <w:t>(Nitare &amp; Skogsstyrelsen, 2019; SLU Artdatabanken, 2025).</w:t>
      </w:r>
    </w:p>
    <w:p>
      <w:r>
        <w:rPr>
          <w:b/>
        </w:rPr>
        <w:t>Stenporella</w:t>
      </w:r>
      <w:r>
        <w:t xml:space="preserve"> är i stora delar av landet en god signalart för skogsmiljöer med höga naturvärden. Den är beroende av konstant hög luftfuktighet och på dess lokaler förekommer ofta rödlistade mossor och lavar. Stenporella är typisk art för </w:t>
      </w:r>
      <w:r>
        <w:rPr>
          <w:i/>
        </w:rPr>
        <w:t xml:space="preserve">9750 Svämlövskog </w:t>
      </w:r>
      <w:r>
        <w:t>(Nitare &amp; Skogsstyrelsen, 2019; SLU Artdatabanken, 2025).</w:t>
      </w:r>
    </w:p>
    <w:p>
      <w:r>
        <w:rPr>
          <w:b/>
        </w:rPr>
        <w:t xml:space="preserve">Strutbräken </w:t>
      </w:r>
      <w:r>
        <w:t xml:space="preserve">är normalt en mycket bra och tydlig signalart som visar på flera olika fuktiga biotoper med rörligt markvatten som nästan alltid har höga naturvärden. Den växer på skuggiga, fuktiga, näringsrika mullmarker längs bäckdalar, åar, älvar, översilade sluttningar med högörtsgranskog och svämlövskogar med kortvarigt översvämmade sedimentplan. Växtplatserna har ytligt rörligt markvatten och konstant hög luftfuktighet. Arten är känslig för avverkning och dikning.Strutbräken är typisk art för </w:t>
      </w:r>
      <w:r>
        <w:rPr>
          <w:i/>
        </w:rPr>
        <w:t xml:space="preserve">9050 Näringsrik granskog, 9080 Lövsumpskog, 9750 Svämlövskog, 9760 Svämädellövskog </w:t>
      </w:r>
      <w:r>
        <w:t>och</w:t>
      </w:r>
      <w:r>
        <w:rPr>
          <w:i/>
        </w:rPr>
        <w:t xml:space="preserve"> 6430 Högörtängar</w:t>
      </w:r>
      <w:r>
        <w:t xml:space="preserve"> (Nitare &amp; Skogsstyrelsen, 2019; SLU Artdatabanken, 2025).</w:t>
      </w:r>
    </w:p>
    <w:p>
      <w:r>
        <w:rPr>
          <w:b/>
        </w:rPr>
        <w:t>Svart trolldruva</w:t>
      </w:r>
      <w:r>
        <w:t xml:space="preserve"> är en kalkgynnad växt som förekommer på näringsrik frisk mulljord i såväl bördiga kalkbarrskogar som sydliga kalklövskogar och lundar. Arten är en bra signalart för skyddsvärda biotoper i såväl löv- som barrskogar och tål inte slutavverkning och markberedning. Trolldruva är värdväxt för ett antal sällsynta fjärilsarter som ställer höga krav på sina livsmiljöer, däribland trolldruvemätare (EN), skuggmalmätare (VU) och trolldruvelobmätare (VU). Svart trolldruva är typisk art för </w:t>
      </w:r>
      <w:r>
        <w:rPr>
          <w:i/>
        </w:rPr>
        <w:t>9050 Näringsrik granskog,</w:t>
      </w:r>
      <w:r>
        <w:t xml:space="preserve"> </w:t>
      </w:r>
      <w:r>
        <w:rPr>
          <w:i/>
        </w:rPr>
        <w:t xml:space="preserve">9020 Nordlig ädellövskog, 9160 Näringsrik ekskog, 9180 Ädellövskog i branter </w:t>
      </w:r>
      <w:r>
        <w:t>och</w:t>
      </w:r>
      <w:r>
        <w:rPr>
          <w:i/>
        </w:rPr>
        <w:t xml:space="preserve"> 1610 Åsöar i Östersjön</w:t>
      </w:r>
      <w:r>
        <w:t xml:space="preserve"> (SLU Artdatabanken, 2024; Nitare &amp; Skogsstyrelsen, 2019).</w:t>
      </w:r>
    </w:p>
    <w:p>
      <w:r>
        <w:rPr>
          <w:b/>
        </w:rPr>
        <w:t>Trubbfjädermossa</w:t>
      </w:r>
      <w:r>
        <w:t xml:space="preserve"> signalerar vanligtvis skog med höga naturvärden och den växer på något skuggade block eller trädbaser, oftast nära marken, eller på jord intill vattendrag. Den trivs bäst i ädellövskog och förekommer ofta tillsammans med baronmossor </w:t>
      </w:r>
      <w:r>
        <w:rPr>
          <w:i/>
        </w:rPr>
        <w:t>Anomodon</w:t>
      </w:r>
      <w:r>
        <w:t xml:space="preserve"> och fjädermossor</w:t>
      </w:r>
      <w:r>
        <w:rPr>
          <w:i/>
        </w:rPr>
        <w:t xml:space="preserve"> Neckera</w:t>
      </w:r>
      <w:r>
        <w:t xml:space="preserve">. Trubbfjädermossa är typisk art för </w:t>
      </w:r>
      <w:r>
        <w:rPr>
          <w:i/>
        </w:rPr>
        <w:t>9020 Nordlig ädellövskog,</w:t>
      </w:r>
      <w:r>
        <w:t xml:space="preserve"> </w:t>
      </w:r>
      <w:r>
        <w:rPr>
          <w:i/>
        </w:rPr>
        <w:t xml:space="preserve">9080 Lövsumpskog, 9750 Svämlövskog, 9110 Näringsfattig bokskog, 9130 Näringsrik bokskog </w:t>
      </w:r>
      <w:r>
        <w:t xml:space="preserve">och </w:t>
      </w:r>
      <w:r>
        <w:rPr>
          <w:i/>
        </w:rPr>
        <w:t xml:space="preserve">9760 Svämädellövskog </w:t>
      </w:r>
      <w:r>
        <w:t>(Nitare &amp; Skogsstyrelsen, 2019; SLU Artdatabanken, 2025).</w:t>
      </w:r>
    </w:p>
    <w:p>
      <w:r>
        <w:rPr>
          <w:b/>
        </w:rPr>
        <w:t xml:space="preserve">Underviol </w:t>
      </w:r>
      <w:r>
        <w:t xml:space="preserve">är en bra signalart i hela sitt utbredningsområde i såväl lövlundar som kalkbarrskogar. Arten är särskilt intressant när den förekommer i barrskog och indikerar då troligen relikta och hotade kalkbarrskogsekosystem. Underviol tål inte dagens storskaliga skogsbruksmetoder även om den vid enstaka tillfällen lyckas kvarstå i fuktdråg efter avverkning. Underviol är typisk art för </w:t>
      </w:r>
      <w:r>
        <w:rPr>
          <w:i/>
        </w:rPr>
        <w:t xml:space="preserve">9050 Näringsrik granskog, 9020 Nordlig ädellövskog </w:t>
      </w:r>
      <w:r>
        <w:t xml:space="preserve">och </w:t>
      </w:r>
      <w:r>
        <w:rPr>
          <w:i/>
        </w:rPr>
        <w:t>9160 Näringsrik ekskog</w:t>
      </w:r>
      <w:r>
        <w:t xml:space="preserve"> (Nitare &amp; Skogsstyrelsen, 2019; SLU Artdatabanken, 2024).</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p>
      <w:pPr>
        <w:pStyle w:val="Heading1"/>
      </w:pPr>
      <w:r>
        <w:t>Typiska arter och EU:s art- och habitatdirektiv</w:t>
      </w:r>
    </w:p>
    <w:p>
      <w:r>
        <w:t>Typiska arter används för att lokalisera områden med gynnsam bevarandestatus för de naturtyper som är listade i EU:s art- och habitatdirektiv. Ett exempel är Västlig taiga (EU-kod 9010) som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w:t>
      </w:r>
    </w:p>
    <w:p>
      <w:r>
        <w:t>Följande typiska arter har sina livsmiljöer och växtplatser i den avverkningsanmälda skogen: aspfjädermossa (VU, T), gulvit blekspik (VU, T), skogskorn (VU, T), lunglav (NT, T), rutskinn (NT, T), rödbrun blekspik (NT, T), skogssvingel (NT, T), vårärt (NT, T), bårdlav (S, T), fällmossa (S, T), grön sköldmossa (S, T, §8), guldlockmossa (S, T), myskmadra (S, T), platt fjädermossa (S, T), skogshakmossa (S, T), stenporella (S, T), strutbräken (S, T), svart trolldruva (S, T), trubbfjädermossa (S, T), underviol (S, T) och blåsippa (T, §9).</w:t>
      </w:r>
    </w:p>
    <w:p>
      <w:r>
        <w:t>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r>
        <w:t>Trots detta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w:t>
      </w:r>
      <w:r>
        <w:rPr>
          <w:b/>
        </w:rPr>
        <w:t xml:space="preserve"> </w:t>
      </w:r>
      <w:r>
        <w:t>inte har gynnsam bevarandestatus.</w:t>
      </w:r>
    </w:p>
    <w:p>
      <w:r>
        <w:t>Åtgärder som vidtas i enlighet med art- och habitatdirektivet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w:t>
      </w:r>
    </w:p>
    <w:p>
      <w:r>
        <w:t>EU-direktiv är bindande för EU:s medlemsländer varvid det ankommer på Skogsstyrelsen som nationell tillsynsmyndighet att beakta syftet med EU:s art- och habitatdirektiv vid prövningen av en skogsbruksverksamhet, se Rådets direktiv 92/43/EEG. Se ytterligare information om EU:s livsmiljödirektiv i bilaga 2.</w:t>
      </w:r>
    </w:p>
    <w:p>
      <w:r>
        <w:br w:type="page"/>
      </w:r>
    </w:p>
    <w:p>
      <w:pPr>
        <w:pStyle w:val="Title"/>
      </w:pPr>
      <w:r>
        <w:t>BILAGA 1 –</w:t>
        <w:br/>
        <w:t>Fridlysta och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p>
      <w:pPr>
        <w:pStyle w:val="Heading1"/>
      </w:pPr>
      <w:r>
        <w:t>Grön sköldmossa – ekologi samt krav på livsmiljön</w:t>
      </w:r>
    </w:p>
    <w:p>
      <w:r>
        <w:t>Grön sköldmossa (§8) växer på stubbar och lågor av olika trädslag, huvudsakligen i sena nedbrytningsstadier. Den förekommer främst i näringsrika granskogar med stort inslag av löv, arten är kortlivad och antalet kapslar varierar kraftigt mellan olika år. Grön sköldmossa kräver skog som har ett speciellt mikroklimat med hög och jämn luftfuktighet i kombination med rik tillgång på död ved (SLU Artdatabanken, 2021; Nitare &amp; Skogsstyrelsen, 2019).</w:t>
      </w:r>
    </w:p>
    <w:p>
      <w:r>
        <w:t>Arten har sin huvudutbredning i sydöstra Sverige. Allvarligaste hoten är skogsavverkning och brist på död ved. Brist på naturligt döda träd i dagens produktionsskogar gör att arten blir allt sällsyntare (Hallingbäck, 2016). Död ved i större mängd bör lämnas och träd tillåtas åldras och dö för att skapa kontinuerlig tillgång på livsmiljöer. Träd och livsmiljö bör skyddas genom att lämna trädgrupper, ytor eller zoner (SLU Artdatabanken, 2021). I praktiken handlar det om åtminstone 50 meter med skyddande skog för att undvika uttorkning av marken (Hallingbäck, personligt meddelande 2022-02-24).</w:t>
      </w:r>
    </w:p>
    <w:p>
      <w:r>
        <w:t xml:space="preserve">Grön sköldmossa är typisk art för </w:t>
      </w:r>
      <w:r>
        <w:rPr>
          <w:i/>
        </w:rPr>
        <w:t xml:space="preserve">9010 Taiga </w:t>
      </w:r>
      <w:r>
        <w:t>och</w:t>
      </w:r>
      <w:r>
        <w:rPr>
          <w:i/>
        </w:rPr>
        <w:t xml:space="preserve"> 9750 Svämlövskog</w:t>
      </w:r>
      <w:r>
        <w:t>, fridlyst enligt 8§ artskyddsförordningen och upptagen i EU:s Habitatdirektiv bilaga 2 vilket innebär att det finns ett uttalat intresse inom Europeiska unionen att bevara arten. Grön sköldmossa är en ansvarsart för Sverige då en särskilt stor andel av Europas population finns i landet. Förutom i östra Sverige har arten inga större sammanhängande utbredningar med gynnsam bevarandestatus söderut i Europa förrän i Montenegro. Det finns enbart liten förekomst med gynnsam regional bevarandestatus i södra Frankrike och södra Polen. Fridlysningen enligt §§ 8 och 15 Artskyddsförordningen innebär att det är förbjudet att på något sätt skada exemplar av arten, se artskyddsförordningen (2007:845):</w:t>
      </w:r>
    </w:p>
    <w:p>
      <w:pPr>
        <w:pStyle w:val="ListBullet"/>
      </w:pPr>
      <w:r>
        <w:t>8 § I fråga om sådana vilt levande kärlväxter, mossor, lavar, svampar och alger som anges i bilaga 2 till denna förordning är det förbjudet att i den omfattning som framgår av bilagan 1. plocka, gräva upp eller på annat sätt ta bort eller skada exemplar av växterna, och 2. ta bort eller skada frön eller andra delar.</w:t>
      </w:r>
    </w:p>
    <w:p>
      <w:pPr>
        <w:pStyle w:val="ListBullet"/>
      </w:pPr>
      <w:r>
        <w:t>15 § Länsstyrelsen får i det enskilda fallet ge dispens från förbuden i 6, 8 och 9 §§ som avser länet eller del av länet, om det inte finns någon annan lämplig lösning och dispensen inte försvårar upprätthållandet av en gynnsam bevarandestatus hos artens bestånd i dess naturliga utbredningsområde.</w:t>
      </w:r>
    </w:p>
    <w:p>
      <w:r>
        <w:t>Grön sköldmossa är även listad som B i Artskyddsförordningen vilket innebär att den är en art av unionsintresse:</w:t>
      </w:r>
    </w:p>
    <w:p>
      <w:pPr>
        <w:pStyle w:val="ListBullet"/>
      </w:pPr>
      <w:r>
        <w:t>B: Arten har enligt fågeldirektivet eller art- och habitatdirektivet ett sådant unionsintresse att särskilda skyddsområden (fågeldirektivet) eller bevarandeområden (art- och habitatdirektivet) behöver utses. Arten finns upptagen i bilaga 2 till art- och habitatdirektivet.</w:t>
      </w:r>
    </w:p>
    <w:p>
      <w:r>
        <w:t>Mark- och miljööverdomstolen (MÖD) har i mål nr M 2019-20 (18 februari 2019) slagit fast att grön sköldmossa (§8) är dispenspliktig och att exemplar av arten inte får skadas utan dispens (MÖD, mål nr M 2019-20).</w:t>
      </w:r>
    </w:p>
    <w:p>
      <w:r>
        <w:t>Hallingbäck, personligt meddelande 2022-02-24</w:t>
      </w:r>
    </w:p>
    <w:p>
      <w:pPr>
        <w:jc w:val="left"/>
      </w:pPr>
      <w:r>
        <w:t>Från: Tomas Hallingbäck &lt;Tomas.Hallingback@slu.se&gt;</w:t>
        <w:br/>
        <w:t>Date: tors 24 feb. 2022 kl 17:49</w:t>
        <w:br/>
        <w:t>Subject: Re: Grön sköldmossa</w:t>
        <w:br/>
        <w:t>To: Magnus Kasselstrand &lt;magnus.kasselstrand@gmail.com&gt;</w:t>
      </w:r>
    </w:p>
    <w:p>
      <w:r>
        <w:t>Hej Magnus,</w:t>
      </w:r>
    </w:p>
    <w:p>
      <w:r>
        <w:t>Tyvärr finns inga studier på just detta, men uttorkning av underlaget är en starkt negativ faktor för grön sköldmossa, och jag brukar hänvisa till lokalklimatiska studier som visar att skyddskappan för att förhindra uttorkning av marken ligger på minst tre trädlängder skog (för plan mark), kortare för kuperad terräng, och detta blir i praktiken åtminstone 50 meter.</w:t>
      </w:r>
    </w:p>
    <w:p>
      <w:r>
        <w:t>MVH</w:t>
        <w:br/>
        <w:t>Tomas Hallingbäck</w:t>
      </w:r>
    </w:p>
    <w:p>
      <w:pPr>
        <w:pStyle w:val="Heading2"/>
      </w:pPr>
      <w:r>
        <w:t>Referenser – grön sköldmossa</w:t>
      </w:r>
    </w:p>
    <w:p>
      <w:r>
        <w:t xml:space="preserve">Hallingbäck T., 2016. </w:t>
      </w:r>
      <w:r>
        <w:rPr>
          <w:i/>
        </w:rPr>
        <w:t xml:space="preserve">Mossor en fältguide. </w:t>
      </w:r>
      <w:r>
        <w:t>Naturcentrum.</w:t>
      </w:r>
    </w:p>
    <w:p>
      <w:r>
        <w:t xml:space="preserve">Hallingbäck T., 2022. </w:t>
      </w:r>
      <w:r>
        <w:rPr>
          <w:i/>
        </w:rPr>
        <w:t xml:space="preserve">Personligt meddelande 2022-02-24. </w:t>
      </w:r>
      <w:r>
        <w:t>SLU Artdatabanken.</w:t>
      </w:r>
    </w:p>
    <w:p>
      <w:r>
        <w:t xml:space="preserve">Mark- och miljööverdomstolen. </w:t>
      </w:r>
      <w:r>
        <w:rPr>
          <w:i/>
        </w:rPr>
        <w:t xml:space="preserve">Dom 18 februari 2019 i mål nr M 2019-20 </w:t>
      </w:r>
      <w:r>
        <w:t>(MÖD, mål nr M 2019-20)</w:t>
      </w:r>
    </w:p>
    <w:p>
      <w:r>
        <w:t xml:space="preserve">Nitare, J., 2019. </w:t>
      </w:r>
      <w:r>
        <w:rPr>
          <w:i/>
        </w:rPr>
        <w:t xml:space="preserve">Skyddsvärd skog – Naturvårdsarter och andra kriterier för naturvärdesbedömning. </w:t>
      </w:r>
      <w:r>
        <w:t>Skogsstyrelsen.</w:t>
      </w:r>
    </w:p>
    <w:p>
      <w:r>
        <w:t xml:space="preserve">SLU Artdatabanken, 2021. </w:t>
      </w:r>
      <w:r>
        <w:rPr>
          <w:i/>
        </w:rPr>
        <w:t xml:space="preserve">Artfaktablad. Naturvård – artfakta. </w:t>
      </w:r>
      <w:r>
        <w:t>SLU Artdatabanken, Uppsala</w:t>
      </w:r>
    </w:p>
    <w:p>
      <w:r>
        <w:br w:type="page"/>
      </w:r>
    </w:p>
    <w:p>
      <w:pPr>
        <w:pStyle w:val="Title"/>
      </w:pPr>
      <w:r>
        <w:t>BILAGA 2 – EU:s art- och habitatdirektiv, fågeldirektiv och naturrestaureringsförordning</w:t>
      </w:r>
    </w:p>
    <w:p>
      <w:pPr>
        <w:pStyle w:val="Heading2"/>
      </w:pPr>
      <w:r>
        <w:t>Förenlighet med EU-direktiv</w:t>
      </w:r>
    </w:p>
    <w:p>
      <w:r>
        <w:t>EU-direktiv är bindande för EU:s medlemsländer varvid det ankommer på Skogsstyrelsen som nationell tillsynsmyndighet att beakta syftet med EU:s art- och habitatdirektiv respektive fågeldirektiv vid prövningen av en skogsbruksverksamhet, se Rådets direktiv 92/43/EEG samt 2009/147/EG. Nationella regler som omfattas av ett EU-direktiv ska enligt fast rättspraxis tolkas i enlighet med direktivet, vilket medför en skyldighet för myndigheten att tolka bestämmelser i nationell rätt i ljuset av direktivets ordalydelse, sammanhang och de mål som eftersträvas med direktivet (se EU-domstolens dom i mål C 477/19).</w:t>
      </w:r>
    </w:p>
    <w:p>
      <w:r>
        <w:t>EU:s medlemsstater åläggs i Artikel 3 i fågeldirektivet generella skyldigheter avseende skydd, bevarande och återställande av tillräckligt stora och varierande livsmiljöer för de fågelarter som omfattas av direktivet. Medlemsstaterna ska vidta de åtgärder som är nödvändiga för att bibehålla populationen av fågelarterna på en nivå som svarar särskilt mot ekologiska, vetenskapliga och kulturella behov, eller återupprätta populationen av dessa arter till en sådan nivå (se Europaparlamentets och rådets direktiv 2009/147/EG).</w:t>
      </w:r>
    </w:p>
    <w:p>
      <w:r>
        <w:t>Åtgärder som vidtas i enlighet med art- och habitatdirektivet (92/43/EEG)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 Typiska arter används för att lokalisera områden med gynnsam bevarandestatus för de naturtyper som ingår i EU:s art- och habitatdirektiv.</w:t>
      </w:r>
    </w:p>
    <w:p>
      <w:r>
        <w:t>Västlig taiga (EU-kod 9010)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 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pPr>
        <w:pStyle w:val="Caption"/>
      </w:pPr>
      <w:r>
        <w:drawing>
          <wp:inline xmlns:a="http://schemas.openxmlformats.org/drawingml/2006/main" xmlns:pic="http://schemas.openxmlformats.org/drawingml/2006/picture">
            <wp:extent cx="5486400" cy="2905862"/>
            <wp:docPr id="2" name="Picture 2"/>
            <wp:cNvGraphicFramePr>
              <a:graphicFrameLocks noChangeAspect="1"/>
            </wp:cNvGraphicFramePr>
            <a:graphic>
              <a:graphicData uri="http://schemas.openxmlformats.org/drawingml/2006/picture">
                <pic:pic>
                  <pic:nvPicPr>
                    <pic:cNvPr id="0" name="uppföljning av västlig taiga.jpeg"/>
                    <pic:cNvPicPr/>
                  </pic:nvPicPr>
                  <pic:blipFill>
                    <a:blip r:embed="rId17"/>
                    <a:stretch>
                      <a:fillRect/>
                    </a:stretch>
                  </pic:blipFill>
                  <pic:spPr>
                    <a:xfrm>
                      <a:off x="0" y="0"/>
                      <a:ext cx="5486400" cy="2905862"/>
                    </a:xfrm>
                    <a:prstGeom prst="rect"/>
                  </pic:spPr>
                </pic:pic>
              </a:graphicData>
            </a:graphic>
          </wp:inline>
        </w:drawing>
      </w:r>
    </w:p>
    <w:p>
      <w:pPr>
        <w:pStyle w:val="Caption"/>
      </w:pPr>
      <w:r>
        <w:t>EU:s uppföljning av tillståndet för naturtypen Västlig taiga 9010 i Skandinavien 2013 - 2018. Av kartan framgår det att i den boreala regionen är tillståndet så dåligt (röd färg) att habitatet löper allvarlig risk att försvinna regionalt. Källa: European Environment Agency. https:// eunis.eea.europoa.eu/habitats/10176.</w:t>
      </w:r>
    </w:p>
    <w:p>
      <w:r>
        <w:t>Trots det allvarliga läget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 inte har gynnsam bevarandestatus.</w:t>
      </w:r>
    </w:p>
    <w:p>
      <w:pPr>
        <w:pStyle w:val="Heading2"/>
      </w:pPr>
      <w:r>
        <w:t>EU:s naturrestaureringsförordning</w:t>
      </w:r>
    </w:p>
    <w:p>
      <w:r>
        <w:t>Enligt EU:s naturrestaureringsförordning (EU 2024/1991) ska minst 20 % av landområden och minst 20 % av havsarealen vara restaurerad senast 2030, samt alla ekosystem som är i behov av restaurering senast 2050. Det framgår också av förordningen att det är viktigt att livsmiljötyperna inte försämras innan eller efter att restaureringar genomförts, se exempelvis punkt 37 förordningen.</w:t>
      </w:r>
    </w:p>
    <w:p>
      <w:r>
        <w:t>”</w:t>
      </w:r>
      <w:r>
        <w:rPr>
          <w:i/>
        </w:rPr>
        <w:t>Det är viktigt att medlemsstaterna vidtar åtgärder som syftar till att säkerställa att tillståndet för områden som täcks av livsmiljötyper som omfattas av denna förordning och som omfattas av restaureringsåtgärder uppvisar en kontinuerlig förbättring till dess att de uppnår ett gott tillstånd, och att medlemsstaterna vidtar åtgärder som syftar till att säkerställa att dessa livsmiljötyper, när de har uppnått ett gott tillstånd, inte försämras avsevärt, så att det långsiktiga bibehållandet eller uppnåendet av gott tillstånd inte äventyras. (..) Det är också viktigt att medlemsstaterna anstränger sig för att förhindra avsevärd försämring av områden som täcks av sådana livsmiljötyper som antingen redan är i gott skick eller som inte är i gott skick men ännu inte omfattas av restaureringsåtgärder.”</w:t>
      </w:r>
    </w:p>
    <w:p>
      <w:r>
        <w:rPr>
          <w:b/>
          <w:i/>
        </w:rPr>
        <w:t>Artikel 4(12):</w:t>
      </w:r>
    </w:p>
    <w:p>
      <w:r>
        <w:rPr>
          <w:i/>
        </w:rPr>
        <w:t>Utan att det påverkar tillämpningen av direktiv 92/43/EEG ska medlemsstaterna, senast den dag då deras nationella restaureringsplaner offentliggörs i enlighet med artikel 17.6 i denna förordning, eftersträva att genomföra de åtgärder som krävs för att förhindra avsevärd försämring av områden där de livsmiljötyper som förtecknas i bilaga I till denna förordning förekommer och som är i gott tillstånd eller som krävs för att uppnå de restaureringsmål som anges i punkt 17 i den här artikeln.</w:t>
      </w:r>
    </w:p>
    <w:p>
      <w:r>
        <w:rPr>
          <w:b/>
          <w:i/>
        </w:rPr>
        <w:t>Artikel 4 (17).   Medlemsstaterna ska säkerställa</w:t>
      </w:r>
    </w:p>
    <w:p>
      <w:r>
        <w:rPr>
          <w:i/>
        </w:rPr>
        <w:t>a) en ökning av arealen i gott tillstånd för de livsmiljötyper som förtecknas i bilaga I till dess att minst 90 % är i gott tillstånd och till dess att den gynnsamma referensarealen för varje livsmiljötyp i varje biogeografisk region inom den berörda medlemsstaten har uppnåtts.</w:t>
      </w:r>
    </w:p>
    <w:p>
      <w:r>
        <w:t>Referenser</w:t>
      </w:r>
    </w:p>
    <w:p>
      <w:r>
        <w:t xml:space="preserve">EEA European Environment Agency, 2022. </w:t>
      </w:r>
      <w:r>
        <w:rPr>
          <w:i/>
        </w:rPr>
        <w:t xml:space="preserve">Western taiga – Conservation status 2013-2018. </w:t>
      </w:r>
      <w:r>
        <w:t>https:// eunis.eea.europoa.eu/habitats/10176.</w:t>
      </w:r>
    </w:p>
    <w:p>
      <w:r>
        <w:t>EU-domstolens dom av den 2 juli 2020 i målet C 477/19 (Europeisk hamster) p. 23.</w:t>
      </w:r>
    </w:p>
    <w:p>
      <w:r>
        <w:t>EU-domstolens dom av den 4 mars 2021 i de förenade målen C 473-19 och C 474-19 (Skydda skogen) p. 70 och 76.</w:t>
      </w:r>
    </w:p>
    <w:p>
      <w:r>
        <w:t>Europaparlamentets och rådets direktiv 2009/147/EG av den 30 november 2009 om bevarande av vilda fåglar.</w:t>
      </w:r>
    </w:p>
    <w:p>
      <w:r>
        <w:t>EUROPAPARLAMENTETS OCH RÅDETS FÖRORDNING (EU) 2024/1991 av den 24 juni 2024 om restaurering av natur och om ändring av förordning (EU) 2022/869.</w:t>
      </w:r>
    </w:p>
    <w:p>
      <w:r>
        <w:t>Rådets direktiv 92/43/EEG av den 21 mj 1992 om bevarande av livsmiljöer samt vilda djur och växter.</w:t>
      </w:r>
    </w:p>
    <w:p>
      <w:r>
        <w:t xml:space="preserve">Skogsstyrelsen, 2026. </w:t>
      </w:r>
      <w:r>
        <w:rPr>
          <w:i/>
        </w:rPr>
        <w:t>Biologisk mångfald i skogen.</w:t>
      </w:r>
      <w:r>
        <w:t xml:space="preserve"> Rapport 2026/07.</w:t>
      </w:r>
    </w:p>
    <w:p>
      <w:r>
        <w:t xml:space="preserve">SLU Artdatabanken, 2019. </w:t>
      </w:r>
      <w:r>
        <w:rPr>
          <w:i/>
        </w:rPr>
        <w:t>Sveriges arter och naturtyper i EU:s art- och habitatdirektiv.</w:t>
      </w:r>
      <w:r>
        <w:t xml:space="preserve"> Resultat från rapportering 2019 till EU av bevarandestatus 2013-2018.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2026-08-20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