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klagomål behandlar höga naturvärden i avverkningsanmälan A 48241-2024 i Östhammars kommun som inkom 2024-10-25 och omfattar 10,2 ha.</w:t>
      </w:r>
    </w:p>
    <w:p>
      <w:pPr>
        <w:pStyle w:val="Caption"/>
      </w:pPr>
      <w:r>
        <w:drawing>
          <wp:inline xmlns:a="http://schemas.openxmlformats.org/drawingml/2006/main" xmlns:pic="http://schemas.openxmlformats.org/drawingml/2006/picture">
            <wp:extent cx="5486400" cy="4527854"/>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5278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6700306, E 675379 i SWEREF 99 TM.</w:t>
      </w:r>
    </w:p>
    <w:p>
      <w:r>
        <w:t>I och inom 24 meter från avverkningsanmälan finns fynd av 38 naturvårdsarter, varav 15 är rödlistade, 35 är fridlysta, 4 är typiska (T) och 1 är signalart (S): ål (CR), grönfink (VU, §4), gölgroda (VU, §4a), stare (VU, §4), svart rödstjärt (VU, §4), björktrast (NT, §4), drillsnäppa (NT, §4), enkelbeckasin (NT, §4), gulsparv (NT, §4), järnsparv (NT, §4), rödvingetrast (NT, §4), rörsångare (NT, §4), skrattmås (NT, §4), sädesärla (NT, §4), talltita (NT, §4), tvåblad (S, §8), spillkråka (T, §4), sälg (T), tallbit (T, §4), ängskovall (T), citronfläckad kärrtrollslända (§4a), grönsiska (§4), havsörn (§4), kråka (§4), kungsfågel (§4), större vattensalamander (§4a), sångsvan (§4), ärtsångare (§4), åkergroda (§4a), huggorm (§6), kopparödla (§6), mindre vattensalamander (§6), skogsödla (§6), vanlig groda (§6), vanlig padda (§6), vanlig snok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Ängskovall</w:t>
      </w:r>
      <w:r>
        <w:t xml:space="preserve"> är typisk art för </w:t>
      </w:r>
      <w:r>
        <w:rPr>
          <w:i/>
        </w:rPr>
        <w:t xml:space="preserve">9190 Näringsfattig ekskog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