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klagomål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069032" cy="5724000"/>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0690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48 naturvårdsarter, varav 24 är rödlistade, 8 är fridlysta, 29 är typiska (T) och 16 är signalarter (S): ask (EN), duvspindling (VU), gul taggsvamp (VU, T), knärot (VU, T, §8), läderdoftande fingersvamp (VU), ostticka (VU, T), barrfagerspindling (NT), dofttaggsvamp (NT, T), fjällig taggsvamp s.str. (NT), gransotdyna (NT), motaggsvamp (NT, T), odörspindling (NT), orange taggsvamp (NT, T), persiljespindling (NT), puderspindling (NT), rynkskinn (NT, T), skarp dropptaggsvamp (NT), svartvit taggsvamp (NT), tallfingersvamp (NT), talltita (NT, §4), ullticka (NT, T), vedskivlav (NT, T), vedtrappmossa (NT, T), vårärt (NT, T), blodticka (S, T), brandticka (S), bronshjon (S, T), granbarkgnagare (S, T), grön sköldmossa (S, T, §8), grönpyrola (S, T), korallblylav (S, T), olivspindling (S), rödgul trumpetsvamp (S), skinnlav (S, T), skogsknipprot (S, T, §8), småvaxing (S), stubbspretmossa (S, T), svavelriska (S), tibast (S, T), vedticka (S, T), blåsippa (T, §9), brudborste (T), kransmossa (T), mörk lungört (T),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