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1101-2026 i Östhammars kommun</w:t>
      </w:r>
    </w:p>
    <w:p>
      <w:r>
        <w:t>Denna tillsynsbegäran behandlar höga naturvärden i avverkningsanmälan A 1101-2026 i Östhammars kommun som inkom 2026-01-08 och omfattar 4,1 ha.</w:t>
      </w:r>
    </w:p>
    <w:p>
      <w:pPr>
        <w:pStyle w:val="Caption"/>
      </w:pPr>
      <w:r>
        <w:drawing>
          <wp:inline xmlns:a="http://schemas.openxmlformats.org/drawingml/2006/main" xmlns:pic="http://schemas.openxmlformats.org/drawingml/2006/picture">
            <wp:extent cx="5486400" cy="5712137"/>
            <wp:docPr id="1" name="Picture 1"/>
            <wp:cNvGraphicFramePr>
              <a:graphicFrameLocks noChangeAspect="1"/>
            </wp:cNvGraphicFramePr>
            <a:graphic>
              <a:graphicData uri="http://schemas.openxmlformats.org/drawingml/2006/picture">
                <pic:pic>
                  <pic:nvPicPr>
                    <pic:cNvPr id="0" name="A 1101-2026 karta.png"/>
                    <pic:cNvPicPr/>
                  </pic:nvPicPr>
                  <pic:blipFill>
                    <a:blip r:embed="rId16"/>
                    <a:stretch>
                      <a:fillRect/>
                    </a:stretch>
                  </pic:blipFill>
                  <pic:spPr>
                    <a:xfrm>
                      <a:off x="0" y="0"/>
                      <a:ext cx="5486400" cy="5712137"/>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6703419, E 687663 i SWEREF 99 TM.</w:t>
      </w:r>
    </w:p>
    <w:p>
      <w:r>
        <w:t>I och inom 25 meter från avverkningsanmälan finns fynd av 25 naturvårdsarter, varav 18 är rödlistade, 7 är fridlysta, 4 är typiska (T) och 4 är signalarter (S): violgubbe (EN), bredgentiana (VU, §8), fältgentiana (VU), knärot (VU, T, §8), kopparspindling (VU), mindre bastardsvärmare (VU), silverblåvinge (VU), violettkantad guldvinge (VU), berggräsfjäril (NT), dofttaggsvamp (NT, T), fjällig taggsvamp s.str. (NT), frejas pärlemorfjäril (NT), ladusvala (NT, §4), loppstarr (NT), mindre tåtelsmygare (NT), orange taggsvamp (NT, T), svartvit taggsvamp (NT), tjockfotad fingersvamp (NT), anisspindling (S), nästrot (S, §8), rödgul trumpetsvamp (S), svavelriska (S), nattskärra (T, §4), svartvit flugsnappare (§4) och trana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Violgubbe (EN)</w:t>
      </w:r>
      <w:r>
        <w:t xml:space="preserve"> är en starkt hotad art som bildar mykorrhiza med gran och bok och ev. andra trädslag i äldre ängsgran- och ängsbokskog med lång kontinuitet, främst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2026; Nitare &amp; Skogsstyrelsen, 2019; Aronsson, 2006).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0.51 ha med buffertzonerna och får av detta skäl inte avverkas.</w:t>
      </w:r>
    </w:p>
    <w:p>
      <w:pPr>
        <w:pStyle w:val="Caption"/>
      </w:pPr>
      <w:r>
        <w:drawing>
          <wp:inline xmlns:a="http://schemas.openxmlformats.org/drawingml/2006/main" xmlns:pic="http://schemas.openxmlformats.org/drawingml/2006/picture">
            <wp:extent cx="5486400" cy="7946951"/>
            <wp:docPr id="2" name="Picture 2"/>
            <wp:cNvGraphicFramePr>
              <a:graphicFrameLocks noChangeAspect="1"/>
            </wp:cNvGraphicFramePr>
            <a:graphic>
              <a:graphicData uri="http://schemas.openxmlformats.org/drawingml/2006/picture">
                <pic:pic>
                  <pic:nvPicPr>
                    <pic:cNvPr id="0" name="A 1101-2026 karta knärot.png"/>
                    <pic:cNvPicPr/>
                  </pic:nvPicPr>
                  <pic:blipFill>
                    <a:blip r:embed="rId17"/>
                    <a:stretch>
                      <a:fillRect/>
                    </a:stretch>
                  </pic:blipFill>
                  <pic:spPr>
                    <a:xfrm>
                      <a:off x="0" y="0"/>
                      <a:ext cx="5486400" cy="794695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6703419, E 687663 i SWEREF 99 TM.</w:t>
      </w:r>
    </w:p>
    <w:p>
      <w:r>
        <w:rPr>
          <w:b/>
        </w:rPr>
        <w:t xml:space="preserve">Kopparspindling (VU) </w:t>
      </w:r>
      <w:r>
        <w:t>bildar mykorrhiza med tall och gran i äldre ängsgranskog på kalkrik mark, mer sällan i ren kalktallskog.</w:t>
      </w:r>
      <w:r>
        <w:rPr>
          <w:b/>
        </w:rPr>
        <w:t xml:space="preserve"> </w:t>
      </w:r>
      <w:r>
        <w:t>Minskningstakten uppgår till 30 % inom 50 år och överstiger gränsvärdet för Sårbar (VU) enligt A-kriteriet. (A2c+3c+4c).</w:t>
      </w:r>
      <w:r>
        <w:rPr>
          <w:b/>
        </w:rPr>
        <w:t xml:space="preserve"> </w:t>
      </w:r>
      <w:r>
        <w:t>Intensivt skogsbruk, särskilt kalavverkning och markberedning missgynnar arten och lokaler som även hyser ett stort antal andra hotade arter bör helt undantas från skogsbruk.</w:t>
      </w:r>
      <w:r>
        <w:rPr>
          <w:b/>
        </w:rPr>
        <w:t xml:space="preserve"> </w:t>
      </w:r>
      <w:r>
        <w:t>Kopparspindling är globalt rödlistad som nära hotad (NT) vilket innebär att Sverige har ett internationellt ansvar för arten (SLU Artdatabanken, 2024; IUCN, 2015).</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