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28392-2026 i Östhammars kommun</w:t>
      </w:r>
    </w:p>
    <w:p>
      <w:r>
        <w:t>Denna tillsynsbegäran behandlar höga naturvärden i avverkningsanmälan A 28392-2026 i Östhammars kommun som inkom 2026-06-23 och omfattar 34,4 ha.</w:t>
      </w:r>
    </w:p>
    <w:p>
      <w:pPr>
        <w:pStyle w:val="Caption"/>
      </w:pPr>
      <w:r>
        <w:drawing>
          <wp:inline xmlns:a="http://schemas.openxmlformats.org/drawingml/2006/main" xmlns:pic="http://schemas.openxmlformats.org/drawingml/2006/picture">
            <wp:extent cx="5486400" cy="5439820"/>
            <wp:docPr id="1" name="Picture 1"/>
            <wp:cNvGraphicFramePr>
              <a:graphicFrameLocks noChangeAspect="1"/>
            </wp:cNvGraphicFramePr>
            <a:graphic>
              <a:graphicData uri="http://schemas.openxmlformats.org/drawingml/2006/picture">
                <pic:pic>
                  <pic:nvPicPr>
                    <pic:cNvPr id="0" name="A 28392-2026 karta.png"/>
                    <pic:cNvPicPr/>
                  </pic:nvPicPr>
                  <pic:blipFill>
                    <a:blip r:embed="rId16"/>
                    <a:stretch>
                      <a:fillRect/>
                    </a:stretch>
                  </pic:blipFill>
                  <pic:spPr>
                    <a:xfrm>
                      <a:off x="0" y="0"/>
                      <a:ext cx="5486400" cy="543982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6687100, E 699890 i SWEREF 99 TM.</w:t>
      </w:r>
    </w:p>
    <w:p>
      <w:r>
        <w:t>I och inom 24 meter från avverkningsanmälan finns fynd av 39 naturvårdsarter, varav 16 är rödlistade, 12 är fridlysta, 22 är typiska (T) och 17 är signalarter (S): duvspindling (VU), gränsticka (VU, T), knärot (VU, T, §8), mörk kådsvartspik (VU), ringlav (VU), ulltickeporing (VU), fjällig taggsvamp s.str. (NT), kattfotslav (NT, T), mindre hackspett (NT, T, §4), rynkskinn (NT, T), sårläka (NT, T), talltita (NT, §4), ullticka (NT, T), vedskivlav (NT, T), vedtrappmossa (NT, T), äggspindling (NT), anisspindling (S), björksplintborre (S), bronshjon (S, T), granbarkgnagare (S, T), grovticka (S, T), grön sköldmossa (S, T, §8), grönpyrola (S, T), jättesvampmal (S), kalktallört (S), korallrot (S, T, §8), nästrot (S, §8), plattlummer (S, T, §9), stubbspretmossa (S, T), thomsons trägnagare (S), tvåblad (S, §8), vedticka (S, T), vågbandad barkbock (S), blåsippa (T, §9), kransmossa (T), kärrbräken (T), spillkråka (T, §4),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73 fyndplatser för knärot registrerade på Artportalen. Figur 2 visar gränserna för buffertzoner på 50 m, som behöver lämnas kring fyndplatserna för att knärotslokalerna inte ska försvinna vid en avverkning. Av det avverkningsanmälda området överlappar 17.63 ha med buffertzonerna och får av detta skäl inte avverkas.</w:t>
      </w:r>
    </w:p>
    <w:p>
      <w:pPr>
        <w:pStyle w:val="Caption"/>
      </w:pPr>
      <w:r>
        <w:drawing>
          <wp:inline xmlns:a="http://schemas.openxmlformats.org/drawingml/2006/main" xmlns:pic="http://schemas.openxmlformats.org/drawingml/2006/picture">
            <wp:extent cx="5486400" cy="4730370"/>
            <wp:docPr id="2" name="Picture 2"/>
            <wp:cNvGraphicFramePr>
              <a:graphicFrameLocks noChangeAspect="1"/>
            </wp:cNvGraphicFramePr>
            <a:graphic>
              <a:graphicData uri="http://schemas.openxmlformats.org/drawingml/2006/picture">
                <pic:pic>
                  <pic:nvPicPr>
                    <pic:cNvPr id="0" name="A 28392-2026 karta knärot.png"/>
                    <pic:cNvPicPr/>
                  </pic:nvPicPr>
                  <pic:blipFill>
                    <a:blip r:embed="rId17"/>
                    <a:stretch>
                      <a:fillRect/>
                    </a:stretch>
                  </pic:blipFill>
                  <pic:spPr>
                    <a:xfrm>
                      <a:off x="0" y="0"/>
                      <a:ext cx="5486400" cy="47303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6687100, E 699890 i SWEREF 99 TM.</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Kärrbräken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kattfotslav (NT, T), mindre hackspett (NT, T, §4), rynkskinn (NT, T), sårläka (NT, T), ullticka (NT, T), vedskivlav (NT, T), vedtrappmossa (NT, T), bronshjon (S, T), granbarkgnagare (S, T), grovticka (S, T), grön sköldmossa (S, T, §8), grönpyrola (S, T), korallrot (S, T, §8), plattlummer (S, T, §9), stubbspretmossa (S, T), vedticka (S, T), blåsippa (T, §9), kransmossa (T), kärrbräken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