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49 naturvårdsarter, varav 24 är rödlistade, 8 är fridlysta, 29 är typiska (T) och 17 är signalarter (S): ask (EN), duvspindling (VU), gul taggsvamp (VU, T), knärot (VU, T, §8), läderdoftande fingersvamp (VU), ostticka (VU, T), barrfagerspindling (NT), dofttaggsvamp (NT, T), fjällig taggsvamp s.str. (NT), gransotdyna (NT), motaggsvamp (NT, T), odörspindling (NT), orange taggsvamp (NT, T), persiljespindling (NT), puderspindling (NT), rynkskinn (NT, T), skarp dropptaggsvamp (NT), svartvit taggsvamp (NT), tallfingersvamp (NT), talltita (NT, §4), ullticka (NT, T), vedskivlav (NT, T), vedtrappmossa (NT, T), vårärt (NT, T), blodticka (S, T), brandticka (S), bronshjon (S, T), granbarkgnagare (S, T), grön sköldmossa (S, T, §8), grönpyrola (S, T), korallblylav (S, T), olivspindling (S), rödgul trumpetsvamp (S), skinnlav (S, T), skogsknipprot (S, T, §8), småvaxing (S), strimspindling (S), stubbspretmossa (S, T), svavelriska (S), tibast (S, T), vedticka (S, T), blåsippa (T, §9), brudborste (T), kransmossa (T), mörk lungört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