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38 naturvårdsarter, varav 13 är rödlistade, 9 är fridlysta, 24 är typiska (T) och 16 är signalarter (S): garnlav (VU, T), gyllenspindling (VU), fjällig taggsvamp s.str. (NT), gultoppig fingersvamp (NT), kandelabersvamp (NT, T), kattfotslav (NT, T), persiljespindling (NT), rynkskinn (NT, T), skarp dropptaggsvamp (NT), sårläka (NT, T), talltita (NT, §4), ullticka (NT, T), vårärt (NT, T), brandticka (S), bronshjon (S, T), bårdlav (S, T), dvärgtufs (S), granbarkgnagare (S, T), grön sköldmossa (S, T, §8), kamjordstjärna (S), korallblylav (S, T), olivspindling (S), rävticka (S, T), skinnlav (S, T), stor aspticka (S, T), stubbspretmossa (S, T), svavelriska (S),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