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14 naturvårdsarter, varav 5 är rödlistade, 6 är fridlysta, 7 är typiska (T) och 4 är signalarter (S): violgubbe (EN), knärot (VU, T, §8), kopparspindling (VU), fjällig taggsvamp s.str. (NT), orange taggsvamp (NT, T), kransrams (S, T), skogsknipprot (S, T, §8), svavelriska (S), tvåblad (S, §8),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