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2443-2023 i Östhammars kommun</w:t>
      </w:r>
    </w:p>
    <w:p>
      <w:r>
        <w:t>Detta klagomål behandlar höga naturvärden i samrådsanmälan S 2443-2023 i Östhammars kommun som inkom 2023-07-07 och omfattar 29,3 ha.</w:t>
      </w:r>
    </w:p>
    <w:p>
      <w:pPr>
        <w:pStyle w:val="Caption"/>
      </w:pPr>
      <w:r>
        <w:drawing>
          <wp:inline xmlns:a="http://schemas.openxmlformats.org/drawingml/2006/main" xmlns:pic="http://schemas.openxmlformats.org/drawingml/2006/picture">
            <wp:extent cx="5486400" cy="4972540"/>
            <wp:docPr id="1" name="Picture 1"/>
            <wp:cNvGraphicFramePr>
              <a:graphicFrameLocks noChangeAspect="1"/>
            </wp:cNvGraphicFramePr>
            <a:graphic>
              <a:graphicData uri="http://schemas.openxmlformats.org/drawingml/2006/picture">
                <pic:pic>
                  <pic:nvPicPr>
                    <pic:cNvPr id="0" name="S 2443-2023 karta.png"/>
                    <pic:cNvPicPr/>
                  </pic:nvPicPr>
                  <pic:blipFill>
                    <a:blip r:embed="rId16"/>
                    <a:stretch>
                      <a:fillRect/>
                    </a:stretch>
                  </pic:blipFill>
                  <pic:spPr>
                    <a:xfrm>
                      <a:off x="0" y="0"/>
                      <a:ext cx="5486400" cy="497254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6665586, E 683729 i SWEREF 99 TM.</w:t>
      </w:r>
    </w:p>
    <w:p>
      <w:r>
        <w:t>I och inom 25 meter från samrådsanmälan finns fynd av 59 naturvårdsarter, varav 25 är rödlistade, 5 är fridlysta, 39 är typiska (T) och 31 är signalarter (S): almlav (EN, T), ask (EN), prakttagging (EN, T), skogsalm (EN), almdyna (VU), aspfjädermossa (VU, T), brun lundlav (VU), ekpricklav (VU), gulvit blekspik (VU, T), lundfingersvamp (VU), mörk kraterlav (VU), skogskorn (VU, T), grynig filtlav (NT, T), kandelabersvamp (NT, T), kötticka (NT), lunglav (NT, T), månlåsbräken (NT), parknål (NT), rutskinn (NT, T), rödbrun blekspik (NT, T), skogssvingel (NT, T), stor sotdyna (NT), vintertagging (NT), vit vedfingersvamp (NT), vårärt (NT, T), blomskägglav (S, T), bårdlav (S, T), fransig jordstjärna (S), fällmossa (S, T), grov baronmossa (S, T), grov fjädermossa (S, T), grovticka (S, T), grön sköldmossa (S, T, §8), guldlockmossa (S, T), gulpudrad spiklav (S, T), liten baronmossa (S, T), lönnlav (S), myskmadra (S, T), platt fjädermossa (S, T), rävticka (S, T), scharlakansvårskål agg. (S), skogsknipprot (S, T, §8), slät lönnlav (S), sotlav (S, T), stenporella (S, T), stor aspticka (S, T), strutbräken (S, T), strävlosta (S, T), stubbspretmossa (S, T), svart trolldruva (S, T), thomsons trägnagare (S), tibast (S, T), trubbfjädermossa (S, T), trädporella (S, T), underviol (S, T), vedticka (S, T), blåsippa (T, §9), utter (§4a)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Almdyna (VU)</w:t>
      </w:r>
      <w:r>
        <w:t xml:space="preserve"> är en nedbrytare i barklösa grova lågor av alm, sällsynt även av andra lövträdslag, i ädellövskog och andra ädellövrika miljöer. Arten missgynnas av att ädellövskog avverkas och att arealen skyddad ädellövskog är alltför liten. Kända växtplatser måste skyddas. Almdyna är globalt rödlistad som nära hotad (NT) vilket innebär att Sverige har ett internationellt ansvar för arten (IUCN, 2025; SLU Artdatabanken, 2024).</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Lundfingersvamp (VU) </w:t>
      </w:r>
      <w:r>
        <w:t>bildar mykorrhiza med lind, bok, avenbok och ek i luckig, äldre ädellövskog och gamla lindalléer. I Götaland främst påträffad i ädellövskog, i Svealand främst i alléer och parkmiljö. Överallt mycket sällsynt och med totalt sett liten population i landet. Främsta hotet utgörs av avverkning eller annan exploatering av växtplatserna.  Samtliga lokaler bör skyddas. Lind och gammal hassel bör värnas (SLU Artdatabanken, 2026).</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56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59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