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14 naturvårdsarter, varav 5 är rödlistade, 6 är fridlysta, 7 är typiska (T) och 4 är signalarter (S): violgubbe (EN), knärot (VU, T, §8), kopparspindling (VU), fjällig taggsvamp s.str. (NT), orange taggsvamp (NT, T), kransrams (S, T), skogsknipprot (S, T, §8), svavelriska (S), tvåblad (S, §8),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kransrams (S,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