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som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38 naturvårdsarter hittats: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2"/>
      </w:pPr>
      <w:r>
        <w:t>Fridlysta arter</w:t>
      </w:r>
    </w:p>
    <w:p>
      <w:r>
        <w:t>Följande fridlysta arter har sina livsmiljöer och växtplatser i den avverkningsanmälda skogen: grönfink (VU, §4), gölgroda (VU, §4a), stare (VU, §4), svart rödstjärt (VU, §4), björktrast (NT, §4), drillsnäppa (NT, §4), enkelbeckasin (NT, §4), gulsparv (NT, §4), järnsparv (NT, §4), rödvingetrast (NT, §4), rörsångare (NT, §4), skrattmås (NT, §4), sädesärla (NT, §4), talltita (NT, §4), tvåblad (S, §8), spillkråka (T, §4), tallbit (T, §4),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