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som inkom 2022-10-31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havstrut (EN, §4), bivråk (NT, §4), drillsnäppa (NT, §4), grönsångare (NT, §4), ladusvala (NT, §4), skrattmås (NT, §4), solvända (NT), strandskata (NT, §4), skogsknipprot (S, T, §8), tvåblad (S, §8), grönsiska (§4), svartvit flugsnappare (§4), sävsparv (§4), sångsvan (§4), törnskata (§4)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2"/>
      </w:pPr>
      <w:r>
        <w:t>Fridlysta arter</w:t>
      </w:r>
    </w:p>
    <w:p>
      <w:r>
        <w:t>Följande fridlysta arter har sina livsmiljöer och växtplatser i den avverkningsanmälda skogen: havstrut (EN, §4), bivråk (NT, §4), drillsnäppa (NT, §4), grönsångare (NT, §4), ladusvala (NT, §4), skrattmås (NT, §4), strandskata (NT, §4), skogsknipprot (S, T, §8), tvåblad (S, §8), grönsiska (§4), svartvit flugsnappare (§4), sävsparv (§4), sångsvan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