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gyllenfingersvamp (VU), knärot (VU, §8), läderdoftande fingersvamp (VU), rynkskinn (VU), smultronkantarell (VU), blek fingersvamp (NT), denisespindling (NT), garnlav (NT), järpe (NT, §4), mindre hackspett (NT, §4), motaggsvamp (NT), odörspindling (NT), rosenticka (NT), spillkråka (NT, §4), talltita (NT, §4), ullticka (NT), vedtrappmossa (NT), mandarinfingersvamp (DD), anisspindling (S), fjällig taggsvamp s.str. (S), granbarkgnagare (S), grön sköldmossa (S, §8), grönpyrola (S), kattfotslav (S), olivspindling (S), rödgul trumpetsvamp (S), skarp dropptaggsvamp (S), skogsknipprot (S, §8), stubbspretmossa (S), svavelriska (S), tibast (S), toppvaxing (S), vedticka (S), vårärt (S), gröngöling (§4), kungsfågel (§4), tjäder (§4), vanlig groda (§6), vanlig padda (§6), fläcknycklar (§8), nattviol (§8), blåsippa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vanlig groda (§6), vanlig padda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