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45170-2024 i Östhammars kommun</w:t>
      </w:r>
    </w:p>
    <w:p>
      <w:r>
        <w:t>Detta dokument behandlar höga naturvärden i avverkningsanmälan A 45170-2024 i Östhammars kommun. Denna avverkningsanmälan inkom 2024-10-10 00:00:00 och omfattar 19,7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vågticka (VU), granticka (NT), kortskaftad ärgspik (NT), kötticka (NT), mindre hackspett (NT, §4), spillkråka (NT, §4), talltita (NT, §4), ullticka (NT), brandticka (S), bronshjon (S), fjällig taggsvamp s.str. (S), grön sköldmossa (S, §8), rävticka (S), stubbspretmossa (S), svavelriska (S), thomsons trägnagare (S), tibast (S), trådticka (S), vågbandad barkbock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4451"/>
            <wp:docPr id="1" name="Picture 1"/>
            <wp:cNvGraphicFramePr>
              <a:graphicFrameLocks noChangeAspect="1"/>
            </wp:cNvGraphicFramePr>
            <a:graphic>
              <a:graphicData uri="http://schemas.openxmlformats.org/drawingml/2006/picture">
                <pic:pic>
                  <pic:nvPicPr>
                    <pic:cNvPr id="0" name="A 45170-2024 karta.png"/>
                    <pic:cNvPicPr/>
                  </pic:nvPicPr>
                  <pic:blipFill>
                    <a:blip r:embed="rId16"/>
                    <a:stretch>
                      <a:fillRect/>
                    </a:stretch>
                  </pic:blipFill>
                  <pic:spPr>
                    <a:xfrm>
                      <a:off x="0" y="0"/>
                      <a:ext cx="5486400" cy="428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6681366, E 655202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Rävticka</w:t>
      </w:r>
      <w:r>
        <w:t xml:space="preserve"> är typisk art för </w:t>
      </w:r>
      <w:r>
        <w:rPr>
          <w:i/>
        </w:rPr>
        <w:t xml:space="preserve">9010 Taiga </w:t>
      </w:r>
      <w:r>
        <w:t>(SLU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mindre hackspett (NT, §4), spillkråka (NT, §4), talltita (NT, §4), grön sköldmossa (S, §8)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