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9569-2026 i Östhammars kommun</w:t>
      </w:r>
    </w:p>
    <w:p>
      <w:r>
        <w:t>Denna tillsynsbegäran behandlar höga naturvärden i avverkningsanmälan A 9569-2026 i Östhammars kommun som inkom 2026-02-18 och omfattar 1,4 ha.</w:t>
      </w:r>
    </w:p>
    <w:p>
      <w:pPr>
        <w:pStyle w:val="Caption"/>
      </w:pPr>
      <w:r>
        <w:drawing>
          <wp:inline xmlns:a="http://schemas.openxmlformats.org/drawingml/2006/main" xmlns:pic="http://schemas.openxmlformats.org/drawingml/2006/picture">
            <wp:extent cx="5486400" cy="4453396"/>
            <wp:docPr id="1" name="Picture 1"/>
            <wp:cNvGraphicFramePr>
              <a:graphicFrameLocks noChangeAspect="1"/>
            </wp:cNvGraphicFramePr>
            <a:graphic>
              <a:graphicData uri="http://schemas.openxmlformats.org/drawingml/2006/picture">
                <pic:pic>
                  <pic:nvPicPr>
                    <pic:cNvPr id="0" name="A 9569-2026 karta.png"/>
                    <pic:cNvPicPr/>
                  </pic:nvPicPr>
                  <pic:blipFill>
                    <a:blip r:embed="rId16"/>
                    <a:stretch>
                      <a:fillRect/>
                    </a:stretch>
                  </pic:blipFill>
                  <pic:spPr>
                    <a:xfrm>
                      <a:off x="0" y="0"/>
                      <a:ext cx="5486400" cy="445339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6682802, E 691946 i SWEREF 99 TM.</w:t>
      </w:r>
    </w:p>
    <w:p>
      <w:r>
        <w:t>I avverkningsanmälan finns fynd av 7 naturvårdsarter, varav 4 är rödlistade, 1 är typisk (T) och 3 är signalarter (S): gyllenfingersvamp (EN), koppartaggsvamp (EN), skarp dropptaggsvamp (NT), äggspindling (NT), anisspindling (S), olivspindling (S) och trådticka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Gyllenfingersvamp (EN) </w:t>
      </w:r>
      <w:r>
        <w:t>är en sällsynt och starkt hotad svamp som</w:t>
      </w:r>
      <w:r>
        <w:rPr>
          <w:b/>
        </w:rPr>
        <w:t xml:space="preserve"> </w:t>
      </w:r>
      <w:r>
        <w:t>bildar mykorrhiza med gran, i granskog på rikare mark, framförallt i kalkbarrskogar, ofta i samma växtmiljö som violgubbe.</w:t>
      </w:r>
      <w:r>
        <w:rPr>
          <w:b/>
        </w:rPr>
        <w:t xml:space="preserve"> </w:t>
      </w:r>
      <w:r>
        <w:t>Som naturvårdsindikator är gyllenfingersvamp en ”toppart”. Den är mycket känslig för skogsbruksåtgärder och är aldrig påträffad i sekundärskog. Artens koppling till produktiva äldre granskogar med hög bonitet gör den särskilt utsatt för slutavverkning. Total population i landet bedöms ha minskat kraftigt och fortsatt minska, huvudsakligen p.g.a. slutavverkningar av äldre kontinuitetsskog. Samtliga lokaler bör undantas från rationellt skogsbruk och kalkbarrskogar med gyllenfingersvamp bör få områdesskydd. Arten är placerad högst upp i Skogsstyrelsens värdepyramid för bedömning av skog med höga naturvärden (SLU Artdatabanken, 2026; Nitare &amp; Skogsstyrelsen, 2019).</w:t>
      </w:r>
    </w:p>
    <w:p>
      <w:r>
        <w:rPr>
          <w:b/>
        </w:rPr>
        <w:t xml:space="preserve">Koppartaggsvamp (EN) </w:t>
      </w:r>
      <w:r>
        <w:t>är en starkt hotad svamp som bildar mykorrhiza med gran i örtrik äldre granskog på kalkrik mark. Arten är en mycket bra indikator på skyddsvärda kalkgranskogar och påfallande ofta växer den tillsammans med raggtaggsvamp (EN). Koppartaggsvamp ingår i ett åtgärdsprogram för hotade arter (ÅGP) och dess långsiktiga överlevnad säkras genom att växtplatserna undantas från avverkning. Den totala populationen i landet har minskat kraftigt och minskningstakten, som uppgår till 50 (30–70) % inom 50 år, överstiger gränsvärdet för starkt hotad (EN) (SLU Artdatabanken, 2026; Nitare &amp; Skogsstyrelsen, 2019; Nitare, 2006).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Äggspindling (NT) </w:t>
      </w:r>
      <w:r>
        <w:t>bildar mykorrhiza med gran i äldre ängsgranskog på kalkrik mark och kräver sannolikt lång kontinuitet av äldre träd. Arten bedöms ha minskat med mer än 15 % över de senaste 50 åren, p.g.a. slutavverkning av äldre skog och minskningstakten för den svenska populationen bedöms vara nära gränsvärdet för Sårbar (VU). (A2c+3c+4c). På artens växtplatser måste skogsbruk ske med stor försiktighet eftersom de ofta innehåller ett stort antal sällsynta och hotade arter. Lokaler med rika förekomster bör betraktas som nyckelbiotoper och helt undantas från avverkning. Äggspindling är globalt rödlistad som nära hotad (NT) vilket innebär att Sverige har ett internationellt ansvar för arten (SLU Artdatabanken, 2024; Nitare &amp; Skogsstyrelsen, 2019; IUCN, 2019).</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